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81445B" w:rsidTr="0081445B">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1445B">
              <w:trPr>
                <w:jc w:val="center"/>
              </w:trPr>
              <w:tc>
                <w:tcPr>
                  <w:tcW w:w="0" w:type="auto"/>
                  <w:tcMar>
                    <w:top w:w="30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030"/>
                    <w:gridCol w:w="2970"/>
                  </w:tblGrid>
                  <w:tr w:rsidR="0081445B">
                    <w:trPr>
                      <w:jc w:val="center"/>
                    </w:trPr>
                    <w:tc>
                      <w:tcPr>
                        <w:tcW w:w="6030" w:type="dxa"/>
                        <w:hideMark/>
                      </w:tcPr>
                      <w:tbl>
                        <w:tblPr>
                          <w:tblW w:w="5000" w:type="pct"/>
                          <w:tblCellMar>
                            <w:left w:w="0" w:type="dxa"/>
                            <w:right w:w="0" w:type="dxa"/>
                          </w:tblCellMar>
                          <w:tblLook w:val="04A0" w:firstRow="1" w:lastRow="0" w:firstColumn="1" w:lastColumn="0" w:noHBand="0" w:noVBand="1"/>
                        </w:tblPr>
                        <w:tblGrid>
                          <w:gridCol w:w="6030"/>
                        </w:tblGrid>
                        <w:tr w:rsidR="0081445B">
                          <w:tc>
                            <w:tcPr>
                              <w:tcW w:w="0" w:type="auto"/>
                              <w:tcMar>
                                <w:top w:w="0" w:type="dxa"/>
                                <w:left w:w="0" w:type="dxa"/>
                                <w:bottom w:w="75" w:type="dxa"/>
                                <w:right w:w="0" w:type="dxa"/>
                              </w:tcMar>
                              <w:vAlign w:val="center"/>
                              <w:hideMark/>
                            </w:tcPr>
                            <w:p w:rsidR="0081445B" w:rsidRDefault="0081445B">
                              <w:pPr>
                                <w:pStyle w:val="text-build-content"/>
                                <w:spacing w:before="150" w:after="150"/>
                                <w:rPr>
                                  <w:rFonts w:ascii="Arial" w:hAnsi="Arial" w:cs="Arial"/>
                                  <w:color w:val="000000"/>
                                </w:rPr>
                              </w:pPr>
                              <w:r>
                                <w:rPr>
                                  <w:rFonts w:ascii="Poppins" w:hAnsi="Poppins" w:cs="Arial"/>
                                  <w:b/>
                                  <w:bCs/>
                                  <w:color w:val="91D663"/>
                                </w:rPr>
                                <w:t xml:space="preserve">MI </w:t>
                              </w:r>
                              <w:proofErr w:type="spellStart"/>
                              <w:r>
                                <w:rPr>
                                  <w:rFonts w:ascii="Poppins" w:hAnsi="Poppins" w:cs="Arial"/>
                                  <w:b/>
                                  <w:bCs/>
                                  <w:color w:val="91D663"/>
                                </w:rPr>
                                <w:t>Newsletter</w:t>
                              </w:r>
                              <w:proofErr w:type="spellEnd"/>
                              <w:r>
                                <w:rPr>
                                  <w:rFonts w:ascii="Poppins" w:hAnsi="Poppins" w:cs="Arial"/>
                                  <w:b/>
                                  <w:bCs/>
                                  <w:color w:val="91D663"/>
                                </w:rPr>
                                <w:t xml:space="preserve"> </w:t>
                              </w:r>
                              <w:proofErr w:type="spellStart"/>
                              <w:r>
                                <w:rPr>
                                  <w:rFonts w:ascii="Poppins" w:hAnsi="Poppins" w:cs="Arial"/>
                                  <w:b/>
                                  <w:bCs/>
                                  <w:color w:val="91D663"/>
                                </w:rPr>
                                <w:t>April</w:t>
                              </w:r>
                              <w:proofErr w:type="spellEnd"/>
                              <w:r>
                                <w:rPr>
                                  <w:rFonts w:ascii="Poppins" w:hAnsi="Poppins" w:cs="Arial"/>
                                  <w:b/>
                                  <w:bCs/>
                                  <w:color w:val="91D663"/>
                                </w:rPr>
                                <w:t xml:space="preserve"> 2024</w:t>
                              </w:r>
                            </w:p>
                          </w:tc>
                        </w:tr>
                      </w:tbl>
                      <w:p w:rsidR="0081445B" w:rsidRDefault="0081445B">
                        <w:pPr>
                          <w:rPr>
                            <w:rFonts w:eastAsia="Times New Roman"/>
                            <w:sz w:val="20"/>
                            <w:szCs w:val="20"/>
                          </w:rPr>
                        </w:pPr>
                      </w:p>
                    </w:tc>
                    <w:tc>
                      <w:tcPr>
                        <w:tcW w:w="2970" w:type="dxa"/>
                        <w:hideMark/>
                      </w:tcPr>
                      <w:tbl>
                        <w:tblPr>
                          <w:tblW w:w="5000" w:type="pct"/>
                          <w:tblCellMar>
                            <w:left w:w="0" w:type="dxa"/>
                            <w:right w:w="0" w:type="dxa"/>
                          </w:tblCellMar>
                          <w:tblLook w:val="04A0" w:firstRow="1" w:lastRow="0" w:firstColumn="1" w:lastColumn="0" w:noHBand="0" w:noVBand="1"/>
                        </w:tblPr>
                        <w:tblGrid>
                          <w:gridCol w:w="2970"/>
                        </w:tblGrid>
                        <w:tr w:rsidR="0081445B">
                          <w:tc>
                            <w:tcPr>
                              <w:tcW w:w="0" w:type="auto"/>
                              <w:vAlign w:val="center"/>
                              <w:hideMark/>
                            </w:tcPr>
                            <w:p w:rsidR="0081445B" w:rsidRDefault="0081445B">
                              <w:pPr>
                                <w:pStyle w:val="text-build-content"/>
                                <w:spacing w:before="150" w:after="150"/>
                                <w:jc w:val="right"/>
                                <w:rPr>
                                  <w:rFonts w:ascii="Arial" w:hAnsi="Arial" w:cs="Arial"/>
                                  <w:color w:val="000000"/>
                                  <w:sz w:val="18"/>
                                  <w:szCs w:val="18"/>
                                </w:rPr>
                              </w:pPr>
                              <w:hyperlink r:id="rId6" w:tgtFrame="_blank" w:history="1">
                                <w:r>
                                  <w:rPr>
                                    <w:rStyle w:val="Hipervnculo"/>
                                    <w:rFonts w:ascii="Poppins" w:hAnsi="Poppins" w:cs="Arial"/>
                                    <w:color w:val="707070"/>
                                    <w:sz w:val="21"/>
                                    <w:szCs w:val="21"/>
                                  </w:rPr>
                                  <w:t xml:space="preserve">View online </w:t>
                                </w:r>
                                <w:proofErr w:type="spellStart"/>
                                <w:r>
                                  <w:rPr>
                                    <w:rStyle w:val="Hipervnculo"/>
                                    <w:rFonts w:ascii="Poppins" w:hAnsi="Poppins" w:cs="Arial"/>
                                    <w:color w:val="707070"/>
                                    <w:sz w:val="21"/>
                                    <w:szCs w:val="21"/>
                                  </w:rPr>
                                  <w:t>version</w:t>
                                </w:r>
                                <w:proofErr w:type="spellEnd"/>
                              </w:hyperlink>
                            </w:p>
                          </w:tc>
                        </w:tr>
                      </w:tbl>
                      <w:p w:rsidR="0081445B" w:rsidRDefault="0081445B">
                        <w:pPr>
                          <w:rPr>
                            <w:rFonts w:eastAsia="Times New Roman"/>
                            <w:sz w:val="20"/>
                            <w:szCs w:val="20"/>
                          </w:rPr>
                        </w:pPr>
                      </w:p>
                    </w:tc>
                  </w:tr>
                </w:tbl>
                <w:p w:rsidR="0081445B" w:rsidRDefault="0081445B">
                  <w:pPr>
                    <w:jc w:val="center"/>
                    <w:rPr>
                      <w:rFonts w:eastAsia="Times New Roman"/>
                      <w:sz w:val="20"/>
                      <w:szCs w:val="20"/>
                    </w:rPr>
                  </w:pPr>
                </w:p>
              </w:tc>
            </w:tr>
          </w:tbl>
          <w:p w:rsidR="0081445B" w:rsidRDefault="0081445B">
            <w:pPr>
              <w:jc w:val="center"/>
              <w:rPr>
                <w:rFonts w:eastAsia="Times New Roman"/>
                <w:sz w:val="20"/>
                <w:szCs w:val="20"/>
              </w:rPr>
            </w:pPr>
          </w:p>
        </w:tc>
      </w:tr>
    </w:tbl>
    <w:p w:rsidR="0081445B" w:rsidRDefault="0081445B" w:rsidP="0081445B">
      <w:pPr>
        <w:shd w:val="clear" w:color="auto" w:fill="FFFFFF"/>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81445B" w:rsidTr="0081445B">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1445B">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trPr>
                                  <w:jc w:val="center"/>
                                </w:trPr>
                                <w:tc>
                                  <w:tcPr>
                                    <w:tcW w:w="9000" w:type="dxa"/>
                                    <w:vAlign w:val="center"/>
                                    <w:hideMark/>
                                  </w:tcPr>
                                  <w:p w:rsidR="0081445B" w:rsidRDefault="0081445B">
                                    <w:pPr>
                                      <w:rPr>
                                        <w:rFonts w:eastAsia="Times New Roman"/>
                                      </w:rPr>
                                    </w:pPr>
                                    <w:r>
                                      <w:rPr>
                                        <w:rFonts w:eastAsia="Times New Roman"/>
                                        <w:noProof/>
                                        <w:color w:val="0000FF"/>
                                      </w:rPr>
                                      <w:drawing>
                                        <wp:inline distT="0" distB="0" distL="0" distR="0">
                                          <wp:extent cx="5715000" cy="1905000"/>
                                          <wp:effectExtent l="0" t="0" r="0" b="0"/>
                                          <wp:docPr id="9" name="Imagen 9" descr="https://0sgqq.mjt.lu/tplimg/0sgqq/b/1m870/x895.jpe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sgqq.mjt.lu/tplimg/0sgqq/b/1m870/x89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rsidR="0081445B" w:rsidRDefault="0081445B">
                              <w:pPr>
                                <w:jc w:val="center"/>
                                <w:rPr>
                                  <w:rFonts w:eastAsia="Times New Roman"/>
                                  <w:sz w:val="20"/>
                                  <w:szCs w:val="20"/>
                                </w:rPr>
                              </w:pPr>
                            </w:p>
                          </w:tc>
                        </w:tr>
                        <w:tr w:rsidR="0081445B">
                          <w:tc>
                            <w:tcPr>
                              <w:tcW w:w="0" w:type="auto"/>
                              <w:tcMar>
                                <w:top w:w="75"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480"/>
                                <w:gridCol w:w="480"/>
                                <w:gridCol w:w="480"/>
                              </w:tblGrid>
                              <w:tr w:rsidR="0081445B">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80"/>
                                    </w:tblGrid>
                                    <w:tr w:rsidR="0081445B">
                                      <w:trPr>
                                        <w:jc w:val="center"/>
                                      </w:trPr>
                                      <w:tc>
                                        <w:tcPr>
                                          <w:tcW w:w="0" w:type="auto"/>
                                          <w:tcMar>
                                            <w:top w:w="60" w:type="dxa"/>
                                            <w:left w:w="60" w:type="dxa"/>
                                            <w:bottom w:w="60" w:type="dxa"/>
                                            <w:right w:w="60" w:type="dxa"/>
                                          </w:tcMar>
                                          <w:vAlign w:val="center"/>
                                          <w:hideMark/>
                                        </w:tcPr>
                                        <w:tbl>
                                          <w:tblPr>
                                            <w:tblW w:w="300" w:type="dxa"/>
                                            <w:shd w:val="clear" w:color="auto" w:fill="0077B5"/>
                                            <w:tblCellMar>
                                              <w:left w:w="0" w:type="dxa"/>
                                              <w:right w:w="0" w:type="dxa"/>
                                            </w:tblCellMar>
                                            <w:tblLook w:val="04A0" w:firstRow="1" w:lastRow="0" w:firstColumn="1" w:lastColumn="0" w:noHBand="0" w:noVBand="1"/>
                                          </w:tblPr>
                                          <w:tblGrid>
                                            <w:gridCol w:w="360"/>
                                          </w:tblGrid>
                                          <w:tr w:rsidR="0081445B">
                                            <w:trPr>
                                              <w:trHeight w:val="300"/>
                                            </w:trPr>
                                            <w:tc>
                                              <w:tcPr>
                                                <w:tcW w:w="300" w:type="dxa"/>
                                                <w:shd w:val="clear" w:color="auto" w:fill="0077B5"/>
                                                <w:tcMar>
                                                  <w:top w:w="30" w:type="dxa"/>
                                                  <w:left w:w="30" w:type="dxa"/>
                                                  <w:bottom w:w="30" w:type="dxa"/>
                                                  <w:right w:w="30" w:type="dxa"/>
                                                </w:tcMar>
                                                <w:vAlign w:val="center"/>
                                                <w:hideMark/>
                                              </w:tcPr>
                                              <w:p w:rsidR="0081445B" w:rsidRDefault="0081445B">
                                                <w:pPr>
                                                  <w:rPr>
                                                    <w:rFonts w:eastAsia="Times New Roman"/>
                                                    <w:sz w:val="2"/>
                                                    <w:szCs w:val="2"/>
                                                  </w:rPr>
                                                </w:pPr>
                                                <w:r>
                                                  <w:rPr>
                                                    <w:rFonts w:eastAsia="Times New Roman"/>
                                                    <w:noProof/>
                                                    <w:color w:val="0000FF"/>
                                                    <w:sz w:val="2"/>
                                                    <w:szCs w:val="2"/>
                                                  </w:rPr>
                                                  <w:drawing>
                                                    <wp:inline distT="0" distB="0" distL="0" distR="0">
                                                      <wp:extent cx="190500" cy="190500"/>
                                                      <wp:effectExtent l="0" t="0" r="0" b="0"/>
                                                      <wp:docPr id="8" name="Imagen 8" descr="https://www.mailjet.com/images/theme/v1/icons/ico-social/linkedin.pn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iljet.com/images/theme/v1/icons/ico-social/linkedi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81445B" w:rsidRDefault="0081445B">
                                          <w:pPr>
                                            <w:rPr>
                                              <w:rFonts w:eastAsia="Times New Roman"/>
                                              <w:sz w:val="20"/>
                                              <w:szCs w:val="20"/>
                                            </w:rPr>
                                          </w:pPr>
                                        </w:p>
                                      </w:tc>
                                    </w:tr>
                                  </w:tbl>
                                  <w:p w:rsidR="0081445B" w:rsidRDefault="0081445B">
                                    <w:pPr>
                                      <w:jc w:val="center"/>
                                      <w:rPr>
                                        <w:rFonts w:eastAsia="Times New Roman"/>
                                        <w:sz w:val="20"/>
                                        <w:szCs w:val="20"/>
                                      </w:rPr>
                                    </w:pP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80"/>
                                    </w:tblGrid>
                                    <w:tr w:rsidR="0081445B">
                                      <w:trPr>
                                        <w:jc w:val="center"/>
                                      </w:trPr>
                                      <w:tc>
                                        <w:tcPr>
                                          <w:tcW w:w="0" w:type="auto"/>
                                          <w:tcMar>
                                            <w:top w:w="60" w:type="dxa"/>
                                            <w:left w:w="60" w:type="dxa"/>
                                            <w:bottom w:w="60" w:type="dxa"/>
                                            <w:right w:w="60" w:type="dxa"/>
                                          </w:tcMar>
                                          <w:vAlign w:val="center"/>
                                          <w:hideMark/>
                                        </w:tcPr>
                                        <w:tbl>
                                          <w:tblPr>
                                            <w:tblW w:w="300" w:type="dxa"/>
                                            <w:shd w:val="clear" w:color="auto" w:fill="1DA1F2"/>
                                            <w:tblCellMar>
                                              <w:left w:w="0" w:type="dxa"/>
                                              <w:right w:w="0" w:type="dxa"/>
                                            </w:tblCellMar>
                                            <w:tblLook w:val="04A0" w:firstRow="1" w:lastRow="0" w:firstColumn="1" w:lastColumn="0" w:noHBand="0" w:noVBand="1"/>
                                          </w:tblPr>
                                          <w:tblGrid>
                                            <w:gridCol w:w="360"/>
                                          </w:tblGrid>
                                          <w:tr w:rsidR="0081445B">
                                            <w:trPr>
                                              <w:trHeight w:val="300"/>
                                            </w:trPr>
                                            <w:tc>
                                              <w:tcPr>
                                                <w:tcW w:w="300" w:type="dxa"/>
                                                <w:shd w:val="clear" w:color="auto" w:fill="1DA1F2"/>
                                                <w:tcMar>
                                                  <w:top w:w="30" w:type="dxa"/>
                                                  <w:left w:w="30" w:type="dxa"/>
                                                  <w:bottom w:w="30" w:type="dxa"/>
                                                  <w:right w:w="30" w:type="dxa"/>
                                                </w:tcMar>
                                                <w:vAlign w:val="center"/>
                                                <w:hideMark/>
                                              </w:tcPr>
                                              <w:p w:rsidR="0081445B" w:rsidRDefault="0081445B">
                                                <w:pPr>
                                                  <w:rPr>
                                                    <w:rFonts w:eastAsia="Times New Roman"/>
                                                    <w:sz w:val="2"/>
                                                    <w:szCs w:val="2"/>
                                                  </w:rPr>
                                                </w:pPr>
                                                <w:r>
                                                  <w:rPr>
                                                    <w:rFonts w:eastAsia="Times New Roman"/>
                                                    <w:noProof/>
                                                    <w:color w:val="0000FF"/>
                                                    <w:sz w:val="2"/>
                                                    <w:szCs w:val="2"/>
                                                  </w:rPr>
                                                  <w:drawing>
                                                    <wp:inline distT="0" distB="0" distL="0" distR="0">
                                                      <wp:extent cx="190500" cy="190500"/>
                                                      <wp:effectExtent l="0" t="0" r="0" b="0"/>
                                                      <wp:docPr id="7" name="Imagen 7" descr="https://www.mailjet.com/images/theme/v1/icons/ico-social/twitter-x.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iljet.com/images/theme/v1/icons/ico-social/twitter-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81445B" w:rsidRDefault="0081445B">
                                          <w:pPr>
                                            <w:rPr>
                                              <w:rFonts w:eastAsia="Times New Roman"/>
                                              <w:sz w:val="20"/>
                                              <w:szCs w:val="20"/>
                                            </w:rPr>
                                          </w:pPr>
                                        </w:p>
                                      </w:tc>
                                    </w:tr>
                                  </w:tbl>
                                  <w:p w:rsidR="0081445B" w:rsidRDefault="0081445B">
                                    <w:pPr>
                                      <w:jc w:val="center"/>
                                      <w:rPr>
                                        <w:rFonts w:eastAsia="Times New Roman"/>
                                        <w:sz w:val="20"/>
                                        <w:szCs w:val="20"/>
                                      </w:rPr>
                                    </w:pP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80"/>
                                    </w:tblGrid>
                                    <w:tr w:rsidR="0081445B">
                                      <w:trPr>
                                        <w:jc w:val="center"/>
                                      </w:trPr>
                                      <w:tc>
                                        <w:tcPr>
                                          <w:tcW w:w="0" w:type="auto"/>
                                          <w:tcMar>
                                            <w:top w:w="60" w:type="dxa"/>
                                            <w:left w:w="60" w:type="dxa"/>
                                            <w:bottom w:w="60" w:type="dxa"/>
                                            <w:right w:w="60" w:type="dxa"/>
                                          </w:tcMar>
                                          <w:vAlign w:val="center"/>
                                          <w:hideMark/>
                                        </w:tcPr>
                                        <w:tbl>
                                          <w:tblPr>
                                            <w:tblW w:w="300" w:type="dxa"/>
                                            <w:shd w:val="clear" w:color="auto" w:fill="FF0000"/>
                                            <w:tblCellMar>
                                              <w:left w:w="0" w:type="dxa"/>
                                              <w:right w:w="0" w:type="dxa"/>
                                            </w:tblCellMar>
                                            <w:tblLook w:val="04A0" w:firstRow="1" w:lastRow="0" w:firstColumn="1" w:lastColumn="0" w:noHBand="0" w:noVBand="1"/>
                                          </w:tblPr>
                                          <w:tblGrid>
                                            <w:gridCol w:w="360"/>
                                          </w:tblGrid>
                                          <w:tr w:rsidR="0081445B">
                                            <w:trPr>
                                              <w:trHeight w:val="300"/>
                                            </w:trPr>
                                            <w:tc>
                                              <w:tcPr>
                                                <w:tcW w:w="300" w:type="dxa"/>
                                                <w:shd w:val="clear" w:color="auto" w:fill="FF0000"/>
                                                <w:tcMar>
                                                  <w:top w:w="30" w:type="dxa"/>
                                                  <w:left w:w="30" w:type="dxa"/>
                                                  <w:bottom w:w="30" w:type="dxa"/>
                                                  <w:right w:w="30" w:type="dxa"/>
                                                </w:tcMar>
                                                <w:vAlign w:val="center"/>
                                                <w:hideMark/>
                                              </w:tcPr>
                                              <w:p w:rsidR="0081445B" w:rsidRDefault="0081445B">
                                                <w:pPr>
                                                  <w:rPr>
                                                    <w:rFonts w:eastAsia="Times New Roman"/>
                                                    <w:sz w:val="2"/>
                                                    <w:szCs w:val="2"/>
                                                  </w:rPr>
                                                </w:pPr>
                                                <w:r>
                                                  <w:rPr>
                                                    <w:rFonts w:eastAsia="Times New Roman"/>
                                                    <w:noProof/>
                                                    <w:color w:val="0000FF"/>
                                                    <w:sz w:val="2"/>
                                                    <w:szCs w:val="2"/>
                                                  </w:rPr>
                                                  <w:drawing>
                                                    <wp:inline distT="0" distB="0" distL="0" distR="0">
                                                      <wp:extent cx="190500" cy="190500"/>
                                                      <wp:effectExtent l="0" t="0" r="0" b="0"/>
                                                      <wp:docPr id="6" name="Imagen 6" descr="https://www.mailjet.com/images/theme/v1/icons/ico-social/youtube.p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iljet.com/images/theme/v1/icons/ico-social/youtub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81445B" w:rsidRDefault="0081445B">
                                          <w:pPr>
                                            <w:rPr>
                                              <w:rFonts w:eastAsia="Times New Roman"/>
                                              <w:sz w:val="20"/>
                                              <w:szCs w:val="20"/>
                                            </w:rPr>
                                          </w:pPr>
                                        </w:p>
                                      </w:tc>
                                    </w:tr>
                                  </w:tbl>
                                  <w:p w:rsidR="0081445B" w:rsidRDefault="0081445B">
                                    <w:pPr>
                                      <w:jc w:val="center"/>
                                      <w:rPr>
                                        <w:rFonts w:eastAsia="Times New Roman"/>
                                        <w:sz w:val="20"/>
                                        <w:szCs w:val="20"/>
                                      </w:rPr>
                                    </w:pPr>
                                  </w:p>
                                </w:tc>
                              </w:tr>
                            </w:tbl>
                            <w:p w:rsidR="0081445B" w:rsidRDefault="0081445B">
                              <w:pPr>
                                <w:jc w:val="center"/>
                                <w:rPr>
                                  <w:rFonts w:eastAsia="Times New Roman"/>
                                  <w:sz w:val="20"/>
                                  <w:szCs w:val="20"/>
                                </w:rPr>
                              </w:pPr>
                            </w:p>
                          </w:tc>
                        </w:tr>
                      </w:tbl>
                      <w:p w:rsidR="0081445B" w:rsidRDefault="0081445B">
                        <w:pPr>
                          <w:rPr>
                            <w:rFonts w:eastAsia="Times New Roman"/>
                            <w:sz w:val="20"/>
                            <w:szCs w:val="20"/>
                          </w:rPr>
                        </w:pPr>
                      </w:p>
                    </w:tc>
                  </w:tr>
                </w:tbl>
                <w:p w:rsidR="0081445B" w:rsidRDefault="0081445B">
                  <w:pPr>
                    <w:jc w:val="center"/>
                    <w:rPr>
                      <w:rFonts w:eastAsia="Times New Roman"/>
                      <w:sz w:val="20"/>
                      <w:szCs w:val="20"/>
                    </w:rPr>
                  </w:pPr>
                </w:p>
              </w:tc>
            </w:tr>
          </w:tbl>
          <w:p w:rsidR="0081445B" w:rsidRDefault="0081445B">
            <w:pPr>
              <w:jc w:val="center"/>
              <w:rPr>
                <w:rFonts w:eastAsia="Times New Roman"/>
                <w:sz w:val="20"/>
                <w:szCs w:val="20"/>
              </w:rPr>
            </w:pPr>
          </w:p>
        </w:tc>
      </w:tr>
    </w:tbl>
    <w:p w:rsidR="0081445B" w:rsidRDefault="0081445B" w:rsidP="0081445B">
      <w:pPr>
        <w:shd w:val="clear" w:color="auto" w:fill="FFFFFF"/>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shd w:val="clear" w:color="auto" w:fill="FFFFFF"/>
                  <w:tcMar>
                    <w:top w:w="225"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rsidRPr="0081445B">
                          <w:tc>
                            <w:tcPr>
                              <w:tcW w:w="0" w:type="auto"/>
                              <w:shd w:val="clear" w:color="auto" w:fill="FFFFFF"/>
                              <w:vAlign w:val="center"/>
                              <w:hideMark/>
                            </w:tcPr>
                            <w:p w:rsidR="0081445B" w:rsidRPr="0081445B" w:rsidRDefault="0081445B">
                              <w:pPr>
                                <w:pStyle w:val="text-build-content"/>
                                <w:spacing w:before="150" w:after="150"/>
                                <w:rPr>
                                  <w:rFonts w:ascii="Arial" w:hAnsi="Arial" w:cs="Arial"/>
                                  <w:color w:val="000000"/>
                                  <w:sz w:val="36"/>
                                  <w:szCs w:val="36"/>
                                  <w:lang w:val="en-US"/>
                                </w:rPr>
                              </w:pPr>
                              <w:r w:rsidRPr="0081445B">
                                <w:rPr>
                                  <w:rFonts w:ascii="Poppins" w:hAnsi="Poppins" w:cs="Arial"/>
                                  <w:b/>
                                  <w:bCs/>
                                  <w:color w:val="052E59"/>
                                  <w:sz w:val="36"/>
                                  <w:szCs w:val="36"/>
                                  <w:lang w:val="en-US"/>
                                </w:rPr>
                                <w:t>Powering Forward: Energizing Events and Initiatives Across MI</w:t>
                              </w:r>
                            </w:p>
                          </w:tc>
                        </w:tr>
                        <w:tr w:rsidR="0081445B" w:rsidRPr="0081445B">
                          <w:tc>
                            <w:tcPr>
                              <w:tcW w:w="0" w:type="auto"/>
                              <w:shd w:val="clear" w:color="auto" w:fill="FFFFFF"/>
                              <w:vAlign w:val="center"/>
                              <w:hideMark/>
                            </w:tcPr>
                            <w:p w:rsidR="0081445B" w:rsidRPr="0081445B" w:rsidRDefault="0081445B">
                              <w:pPr>
                                <w:pStyle w:val="text-build-content"/>
                                <w:spacing w:before="150" w:after="150" w:line="300" w:lineRule="exact"/>
                                <w:jc w:val="both"/>
                                <w:rPr>
                                  <w:rFonts w:ascii="Verdana" w:hAnsi="Verdana"/>
                                  <w:color w:val="000000"/>
                                  <w:sz w:val="21"/>
                                  <w:szCs w:val="21"/>
                                  <w:lang w:val="en-US"/>
                                </w:rPr>
                              </w:pPr>
                              <w:r w:rsidRPr="0081445B">
                                <w:rPr>
                                  <w:rFonts w:ascii="Poppins" w:hAnsi="Poppins"/>
                                  <w:color w:val="54544A"/>
                                  <w:sz w:val="21"/>
                                  <w:szCs w:val="21"/>
                                  <w:lang w:val="en-US"/>
                                </w:rPr>
                                <w:t>In this edition of the Mission Innovation newsletter, we’re excited to bring you a roundup of key developments from our missions and innovation platform. From insightful events and webinars to new collaborations and initiatives, there’s plenty to explore.</w:t>
                              </w:r>
                            </w:p>
                            <w:p w:rsidR="0081445B" w:rsidRPr="0081445B" w:rsidRDefault="0081445B">
                              <w:pPr>
                                <w:pStyle w:val="text-build-content"/>
                                <w:spacing w:before="150" w:after="150" w:line="300" w:lineRule="exact"/>
                                <w:jc w:val="both"/>
                                <w:rPr>
                                  <w:rFonts w:ascii="Verdana" w:hAnsi="Verdana"/>
                                  <w:color w:val="000000"/>
                                  <w:sz w:val="21"/>
                                  <w:szCs w:val="21"/>
                                  <w:lang w:val="en-US"/>
                                </w:rPr>
                              </w:pPr>
                              <w:r w:rsidRPr="0081445B">
                                <w:rPr>
                                  <w:rFonts w:ascii="Poppins" w:hAnsi="Poppins"/>
                                  <w:color w:val="54544A"/>
                                  <w:sz w:val="21"/>
                                  <w:szCs w:val="21"/>
                                  <w:lang w:val="en-US"/>
                                </w:rPr>
                                <w:t>Read on to learn about the Carbon Dioxide Removal Mission’s new Direct Air Capture workstream and plans for a global Student Competition. We also delve into our recent MI Think Tank event exploring the Circular Carbon Economy, highlight collaborations empowering urban mobility and renewable energy, share insights from the most recent Integrated Biorefineries Mission's webinar and two recent Net-Zero Industries Mission white papers, among other exciting updates.</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Default="0081445B" w:rsidP="0081445B">
      <w:pPr>
        <w:shd w:val="clear" w:color="auto" w:fill="FFFFFF"/>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shd w:val="clear" w:color="auto" w:fill="FFFFFF"/>
                  <w:tcMar>
                    <w:top w:w="30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rsidRPr="0081445B">
                          <w:tc>
                            <w:tcPr>
                              <w:tcW w:w="0" w:type="auto"/>
                              <w:tcMar>
                                <w:top w:w="75" w:type="dxa"/>
                                <w:left w:w="0" w:type="dxa"/>
                                <w:bottom w:w="0" w:type="dxa"/>
                                <w:right w:w="0" w:type="dxa"/>
                              </w:tcMar>
                              <w:vAlign w:val="center"/>
                              <w:hideMark/>
                            </w:tcPr>
                            <w:p w:rsidR="0081445B" w:rsidRPr="0081445B" w:rsidRDefault="0081445B">
                              <w:pPr>
                                <w:pStyle w:val="text-build-content"/>
                                <w:spacing w:before="150" w:after="150"/>
                                <w:rPr>
                                  <w:rFonts w:ascii="Verdana" w:hAnsi="Verdana"/>
                                  <w:color w:val="000000"/>
                                  <w:sz w:val="30"/>
                                  <w:szCs w:val="30"/>
                                  <w:lang w:val="en-US"/>
                                </w:rPr>
                              </w:pPr>
                              <w:r w:rsidRPr="0081445B">
                                <w:rPr>
                                  <w:rFonts w:ascii="Poppins" w:hAnsi="Poppins"/>
                                  <w:b/>
                                  <w:bCs/>
                                  <w:color w:val="54544A"/>
                                  <w:sz w:val="30"/>
                                  <w:szCs w:val="30"/>
                                  <w:lang w:val="en-US"/>
                                </w:rPr>
                                <w:t>Carbon Dioxide Removal Mission Launches Direct Air Capture Workstream</w:t>
                              </w:r>
                            </w:p>
                            <w:p w:rsidR="0081445B" w:rsidRPr="0081445B" w:rsidRDefault="0081445B">
                              <w:pPr>
                                <w:pStyle w:val="text-build-content"/>
                                <w:spacing w:before="150" w:after="150"/>
                                <w:jc w:val="both"/>
                                <w:rPr>
                                  <w:rFonts w:ascii="Verdana" w:hAnsi="Verdana"/>
                                  <w:color w:val="000000"/>
                                  <w:sz w:val="30"/>
                                  <w:szCs w:val="30"/>
                                  <w:lang w:val="en-US"/>
                                </w:rPr>
                              </w:pPr>
                              <w:r w:rsidRPr="0081445B">
                                <w:rPr>
                                  <w:rFonts w:ascii="Poppins" w:hAnsi="Poppins"/>
                                  <w:color w:val="54544A"/>
                                  <w:sz w:val="21"/>
                                  <w:szCs w:val="21"/>
                                  <w:lang w:val="en-US"/>
                                </w:rPr>
                                <w:t xml:space="preserve">The Carbon Dioxide Removal Mission launched a new Direct Air Capture workstream and hosted a public-private workshop to share early results from collaborative LCA/TEA case studies and research. The Mission continues to advance its flagship projects and announced plans to announce a global SMART-CDR (Student Monitoring and Reporting Technology for Carbon Dioxide Removal) Competition this spring. Read more about how the CDR Launchpad is progressing </w:t>
                              </w:r>
                              <w:r>
                                <w:rPr>
                                  <w:rFonts w:ascii="Verdana" w:hAnsi="Verdana"/>
                                  <w:color w:val="000000"/>
                                  <w:sz w:val="30"/>
                                  <w:szCs w:val="30"/>
                                </w:rPr>
                                <w:fldChar w:fldCharType="begin"/>
                              </w:r>
                              <w:r w:rsidRPr="0081445B">
                                <w:rPr>
                                  <w:rFonts w:ascii="Verdana" w:hAnsi="Verdana"/>
                                  <w:color w:val="000000"/>
                                  <w:sz w:val="30"/>
                                  <w:szCs w:val="30"/>
                                  <w:lang w:val="en-US"/>
                                </w:rPr>
                                <w:instrText xml:space="preserve"> HYPERLINK "https://urldefense.com/v3/__http:/0sgqq.mjt.lu/lnk/AW0AAD5uFwQAAAAAlpAAAA52PFgAAAAAFXAAACIjABozNABmFCFROU_L7wOXQfWS_Sb6WpOePAAZSWc/5/O7StvGl7s0AjsJuD65jsyA/aHR0cHM6Ly9taXNzaW9uLWlubm92YXRpb24ubmV0L3dwLWNvbnRlbnQvdXBsb2Fkcy8yMDI0LzAxL0NEUi1MYXVuY2hwYWQtUHJvamVjdHMtSmFuLTIwMjQtdXBkYXRlLnBkZg__;!!D9dNQwwGXtA!WspGDcwaGr599MqcdjnJ8fdnLUzeK5Z-cYGgxSWRttA5Kl75C8Kjt0tX8yLI-znYLYdNMQ5Lq5m9R1-Bdle4zioMN_232A$" \t "_blank" </w:instrText>
                              </w:r>
                              <w:r>
                                <w:rPr>
                                  <w:rFonts w:ascii="Verdana" w:hAnsi="Verdana"/>
                                  <w:color w:val="000000"/>
                                  <w:sz w:val="30"/>
                                  <w:szCs w:val="30"/>
                                </w:rPr>
                                <w:fldChar w:fldCharType="separate"/>
                              </w:r>
                              <w:r w:rsidRPr="0081445B">
                                <w:rPr>
                                  <w:rStyle w:val="Hipervnculo"/>
                                  <w:rFonts w:ascii="Poppins" w:hAnsi="Poppins"/>
                                  <w:color w:val="25C0E4"/>
                                  <w:sz w:val="21"/>
                                  <w:szCs w:val="21"/>
                                  <w:lang w:val="en-US"/>
                                </w:rPr>
                                <w:t>here</w:t>
                              </w:r>
                              <w:r>
                                <w:rPr>
                                  <w:rFonts w:ascii="Verdana" w:hAnsi="Verdana"/>
                                  <w:color w:val="000000"/>
                                  <w:sz w:val="30"/>
                                  <w:szCs w:val="30"/>
                                </w:rPr>
                                <w:fldChar w:fldCharType="end"/>
                              </w:r>
                              <w:r w:rsidRPr="0081445B">
                                <w:rPr>
                                  <w:rFonts w:ascii="Poppins" w:hAnsi="Poppins"/>
                                  <w:color w:val="25C0E4"/>
                                  <w:sz w:val="21"/>
                                  <w:szCs w:val="21"/>
                                  <w:lang w:val="en-US"/>
                                </w:rPr>
                                <w:t>.  </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Default="0081445B" w:rsidP="0081445B">
      <w:pPr>
        <w:shd w:val="clear" w:color="auto" w:fill="FFFFFF"/>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shd w:val="clear" w:color="auto" w:fill="FFFFFF"/>
                  <w:tcMar>
                    <w:top w:w="30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970"/>
                    <w:gridCol w:w="6030"/>
                  </w:tblGrid>
                  <w:tr w:rsidR="0081445B" w:rsidRPr="0081445B">
                    <w:trPr>
                      <w:jc w:val="center"/>
                    </w:trPr>
                    <w:tc>
                      <w:tcPr>
                        <w:tcW w:w="2970" w:type="dxa"/>
                        <w:hideMark/>
                      </w:tcPr>
                      <w:tbl>
                        <w:tblPr>
                          <w:tblW w:w="5000" w:type="pct"/>
                          <w:tblCellMar>
                            <w:left w:w="0" w:type="dxa"/>
                            <w:right w:w="0" w:type="dxa"/>
                          </w:tblCellMar>
                          <w:tblLook w:val="04A0" w:firstRow="1" w:lastRow="0" w:firstColumn="1" w:lastColumn="0" w:noHBand="0" w:noVBand="1"/>
                        </w:tblPr>
                        <w:tblGrid>
                          <w:gridCol w:w="2970"/>
                        </w:tblGrid>
                        <w:tr w:rsidR="0081445B">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2220"/>
                              </w:tblGrid>
                              <w:tr w:rsidR="0081445B">
                                <w:trPr>
                                  <w:jc w:val="center"/>
                                </w:trPr>
                                <w:tc>
                                  <w:tcPr>
                                    <w:tcW w:w="2220" w:type="dxa"/>
                                    <w:vAlign w:val="center"/>
                                    <w:hideMark/>
                                  </w:tcPr>
                                  <w:p w:rsidR="0081445B" w:rsidRDefault="0081445B">
                                    <w:pPr>
                                      <w:rPr>
                                        <w:rFonts w:eastAsia="Times New Roman"/>
                                      </w:rPr>
                                    </w:pPr>
                                    <w:r>
                                      <w:rPr>
                                        <w:rFonts w:eastAsia="Times New Roman"/>
                                        <w:noProof/>
                                      </w:rPr>
                                      <w:lastRenderedPageBreak/>
                                      <w:drawing>
                                        <wp:inline distT="0" distB="0" distL="0" distR="0">
                                          <wp:extent cx="1409700" cy="1495425"/>
                                          <wp:effectExtent l="0" t="0" r="0" b="9525"/>
                                          <wp:docPr id="5" name="Imagen 5" descr="http://0sgqq.mjt.lu/img2/0sgqq/a644ba6a-692d-4ea2-bcc4-3a635811cc32/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0sgqq.mjt.lu/img2/0sgqq/a644ba6a-692d-4ea2-bcc4-3a635811cc32/cont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495425"/>
                                                  </a:xfrm>
                                                  <a:prstGeom prst="rect">
                                                    <a:avLst/>
                                                  </a:prstGeom>
                                                  <a:noFill/>
                                                  <a:ln>
                                                    <a:noFill/>
                                                  </a:ln>
                                                </pic:spPr>
                                              </pic:pic>
                                            </a:graphicData>
                                          </a:graphic>
                                        </wp:inline>
                                      </w:drawing>
                                    </w:r>
                                  </w:p>
                                </w:tc>
                              </w:tr>
                            </w:tbl>
                            <w:p w:rsidR="0081445B" w:rsidRDefault="0081445B">
                              <w:pPr>
                                <w:jc w:val="center"/>
                                <w:rPr>
                                  <w:rFonts w:eastAsia="Times New Roman"/>
                                  <w:sz w:val="20"/>
                                  <w:szCs w:val="20"/>
                                </w:rPr>
                              </w:pPr>
                            </w:p>
                          </w:tc>
                        </w:tr>
                      </w:tbl>
                      <w:p w:rsidR="0081445B" w:rsidRDefault="0081445B">
                        <w:pPr>
                          <w:rPr>
                            <w:rFonts w:eastAsia="Times New Roman"/>
                            <w:sz w:val="20"/>
                            <w:szCs w:val="20"/>
                          </w:rPr>
                        </w:pPr>
                      </w:p>
                    </w:tc>
                    <w:tc>
                      <w:tcPr>
                        <w:tcW w:w="6030" w:type="dxa"/>
                        <w:hideMark/>
                      </w:tcPr>
                      <w:tbl>
                        <w:tblPr>
                          <w:tblW w:w="5000" w:type="pct"/>
                          <w:tblCellMar>
                            <w:left w:w="0" w:type="dxa"/>
                            <w:right w:w="0" w:type="dxa"/>
                          </w:tblCellMar>
                          <w:tblLook w:val="04A0" w:firstRow="1" w:lastRow="0" w:firstColumn="1" w:lastColumn="0" w:noHBand="0" w:noVBand="1"/>
                        </w:tblPr>
                        <w:tblGrid>
                          <w:gridCol w:w="6030"/>
                        </w:tblGrid>
                        <w:tr w:rsidR="0081445B" w:rsidRPr="0081445B">
                          <w:tc>
                            <w:tcPr>
                              <w:tcW w:w="0" w:type="auto"/>
                              <w:tcMar>
                                <w:top w:w="0" w:type="dxa"/>
                                <w:left w:w="375" w:type="dxa"/>
                                <w:bottom w:w="0" w:type="dxa"/>
                                <w:right w:w="375" w:type="dxa"/>
                              </w:tcMar>
                              <w:vAlign w:val="center"/>
                              <w:hideMark/>
                            </w:tcPr>
                            <w:p w:rsidR="0081445B" w:rsidRPr="0081445B" w:rsidRDefault="0081445B">
                              <w:pPr>
                                <w:pStyle w:val="text-build-content"/>
                                <w:spacing w:before="150" w:after="150"/>
                                <w:rPr>
                                  <w:rFonts w:ascii="Verdana" w:hAnsi="Verdana"/>
                                  <w:color w:val="000000"/>
                                  <w:sz w:val="21"/>
                                  <w:szCs w:val="21"/>
                                  <w:lang w:val="en-US"/>
                                </w:rPr>
                              </w:pPr>
                              <w:r w:rsidRPr="0081445B">
                                <w:rPr>
                                  <w:rFonts w:ascii="Poppins" w:hAnsi="Poppins"/>
                                  <w:b/>
                                  <w:bCs/>
                                  <w:color w:val="54544A"/>
                                  <w:sz w:val="30"/>
                                  <w:szCs w:val="30"/>
                                  <w:lang w:val="en-US"/>
                                </w:rPr>
                                <w:t>MI Think Tank: Exploring the Circular Carbon Economy</w:t>
                              </w:r>
                            </w:p>
                            <w:p w:rsidR="0081445B" w:rsidRPr="0081445B" w:rsidRDefault="0081445B">
                              <w:pPr>
                                <w:pStyle w:val="text-build-content"/>
                                <w:spacing w:before="150" w:after="150" w:line="300" w:lineRule="exact"/>
                                <w:jc w:val="both"/>
                                <w:rPr>
                                  <w:rFonts w:ascii="Verdana" w:hAnsi="Verdana"/>
                                  <w:color w:val="000000"/>
                                  <w:sz w:val="21"/>
                                  <w:szCs w:val="21"/>
                                  <w:lang w:val="en-US"/>
                                </w:rPr>
                              </w:pPr>
                              <w:r w:rsidRPr="0081445B">
                                <w:rPr>
                                  <w:rFonts w:ascii="Poppins" w:hAnsi="Poppins"/>
                                  <w:color w:val="54544A"/>
                                  <w:sz w:val="21"/>
                                  <w:szCs w:val="21"/>
                                  <w:lang w:val="en-US"/>
                                </w:rPr>
                                <w:t xml:space="preserve">This January, MI and KAPSARC hosted an MI Think Tank event focused on the Circular Carbon Economy (CCE). The CCE concept extends the principles of the circular economy to carbon emissions management. It aims to reduce initial carbon emissions, reuse carbon as a resource for feedstocks and fuels, recycle carbon through the natural carbon cycle with bioenergy, and uniquely, remove excess carbon and store it. Realizing a CCE requires efforts to bring down costs of key technologies. The MI Think Tank </w:t>
                              </w:r>
                              <w:hyperlink r:id="rId16" w:tgtFrame="_blank" w:history="1">
                                <w:r w:rsidRPr="0081445B">
                                  <w:rPr>
                                    <w:rStyle w:val="Hipervnculo"/>
                                    <w:rFonts w:ascii="Poppins" w:hAnsi="Poppins"/>
                                    <w:color w:val="25C0E4"/>
                                    <w:sz w:val="21"/>
                                    <w:szCs w:val="21"/>
                                    <w:lang w:val="en-US"/>
                                  </w:rPr>
                                  <w:t xml:space="preserve">Report </w:t>
                                </w:r>
                              </w:hyperlink>
                              <w:r w:rsidRPr="0081445B">
                                <w:rPr>
                                  <w:rFonts w:ascii="Poppins" w:hAnsi="Poppins"/>
                                  <w:color w:val="54544A"/>
                                  <w:sz w:val="21"/>
                                  <w:szCs w:val="21"/>
                                  <w:lang w:val="en-US"/>
                                </w:rPr>
                                <w:t xml:space="preserve">and the </w:t>
                              </w:r>
                              <w:hyperlink r:id="rId17" w:tgtFrame="_blank" w:history="1">
                                <w:r w:rsidRPr="0081445B">
                                  <w:rPr>
                                    <w:rStyle w:val="Hipervnculo"/>
                                    <w:rFonts w:ascii="Poppins" w:hAnsi="Poppins"/>
                                    <w:color w:val="25C0E4"/>
                                    <w:sz w:val="21"/>
                                    <w:szCs w:val="21"/>
                                    <w:lang w:val="en-US"/>
                                  </w:rPr>
                                  <w:t>event recording</w:t>
                                </w:r>
                              </w:hyperlink>
                              <w:r w:rsidRPr="0081445B">
                                <w:rPr>
                                  <w:rFonts w:ascii="Poppins" w:hAnsi="Poppins"/>
                                  <w:color w:val="54544A"/>
                                  <w:sz w:val="21"/>
                                  <w:szCs w:val="21"/>
                                  <w:lang w:val="en-US"/>
                                </w:rPr>
                                <w:t xml:space="preserve"> are now available online. Stay tuned for news on future MI Think Tank events!</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Default="0081445B" w:rsidP="0081445B">
      <w:pPr>
        <w:shd w:val="clear" w:color="auto" w:fill="FFFFFF"/>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shd w:val="clear" w:color="auto" w:fill="FFFFFF"/>
                  <w:tcMar>
                    <w:top w:w="30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3180"/>
                              </w:tblGrid>
                              <w:tr w:rsidR="0081445B">
                                <w:trPr>
                                  <w:jc w:val="center"/>
                                </w:trPr>
                                <w:tc>
                                  <w:tcPr>
                                    <w:tcW w:w="3180" w:type="dxa"/>
                                    <w:vAlign w:val="center"/>
                                    <w:hideMark/>
                                  </w:tcPr>
                                  <w:p w:rsidR="0081445B" w:rsidRDefault="0081445B">
                                    <w:pPr>
                                      <w:rPr>
                                        <w:rFonts w:eastAsia="Times New Roman"/>
                                      </w:rPr>
                                    </w:pPr>
                                    <w:r>
                                      <w:rPr>
                                        <w:rFonts w:eastAsia="Times New Roman"/>
                                        <w:noProof/>
                                        <w:color w:val="0000FF"/>
                                      </w:rPr>
                                      <w:drawing>
                                        <wp:inline distT="0" distB="0" distL="0" distR="0">
                                          <wp:extent cx="2019300" cy="2857500"/>
                                          <wp:effectExtent l="0" t="0" r="0" b="0"/>
                                          <wp:docPr id="4" name="Imagen 4" descr="http://0sgqq.mjt.lu/img2/0sgqq/79da1a23-01da-4b8d-95c3-bcf3a917c5a0/content">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0sgqq.mjt.lu/img2/0sgqq/79da1a23-01da-4b8d-95c3-bcf3a917c5a0/cont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p>
                                </w:tc>
                              </w:tr>
                            </w:tbl>
                            <w:p w:rsidR="0081445B" w:rsidRDefault="0081445B">
                              <w:pPr>
                                <w:jc w:val="center"/>
                                <w:rPr>
                                  <w:rFonts w:eastAsia="Times New Roman"/>
                                  <w:sz w:val="20"/>
                                  <w:szCs w:val="20"/>
                                </w:rPr>
                              </w:pPr>
                            </w:p>
                          </w:tc>
                        </w:tr>
                        <w:tr w:rsidR="0081445B" w:rsidRPr="0081445B">
                          <w:tc>
                            <w:tcPr>
                              <w:tcW w:w="0" w:type="auto"/>
                              <w:tcMar>
                                <w:top w:w="0" w:type="dxa"/>
                                <w:left w:w="375" w:type="dxa"/>
                                <w:bottom w:w="0" w:type="dxa"/>
                                <w:right w:w="375" w:type="dxa"/>
                              </w:tcMar>
                              <w:vAlign w:val="center"/>
                              <w:hideMark/>
                            </w:tcPr>
                            <w:p w:rsidR="0081445B" w:rsidRPr="0081445B" w:rsidRDefault="0081445B">
                              <w:pPr>
                                <w:pStyle w:val="text-build-content"/>
                                <w:spacing w:before="150" w:after="150"/>
                                <w:rPr>
                                  <w:rFonts w:ascii="Verdana" w:hAnsi="Verdana"/>
                                  <w:color w:val="000000"/>
                                  <w:sz w:val="21"/>
                                  <w:szCs w:val="21"/>
                                  <w:lang w:val="en-US"/>
                                </w:rPr>
                              </w:pPr>
                              <w:r w:rsidRPr="0081445B">
                                <w:rPr>
                                  <w:rFonts w:ascii="Poppins" w:hAnsi="Poppins"/>
                                  <w:b/>
                                  <w:bCs/>
                                  <w:color w:val="54544A"/>
                                  <w:sz w:val="30"/>
                                  <w:szCs w:val="30"/>
                                  <w:lang w:val="en-US"/>
                                </w:rPr>
                                <w:t>Empowering Cities with Data: Urban Transitions Mission and Google Collaboration</w:t>
                              </w:r>
                            </w:p>
                            <w:p w:rsidR="0081445B" w:rsidRPr="0081445B" w:rsidRDefault="0081445B">
                              <w:pPr>
                                <w:pStyle w:val="text-build-content"/>
                                <w:spacing w:before="150" w:after="150" w:line="300" w:lineRule="exact"/>
                                <w:jc w:val="both"/>
                                <w:rPr>
                                  <w:rFonts w:ascii="Verdana" w:hAnsi="Verdana"/>
                                  <w:color w:val="000000"/>
                                  <w:sz w:val="21"/>
                                  <w:szCs w:val="21"/>
                                  <w:lang w:val="en-US"/>
                                </w:rPr>
                              </w:pPr>
                              <w:r w:rsidRPr="0081445B">
                                <w:rPr>
                                  <w:rFonts w:ascii="Poppins" w:hAnsi="Poppins"/>
                                  <w:color w:val="54544A"/>
                                  <w:sz w:val="21"/>
                                  <w:szCs w:val="21"/>
                                  <w:lang w:val="en-US"/>
                                </w:rPr>
                                <w:t xml:space="preserve">Cities face many challenges in transforming their transportation systems, but data-driven insights can pave the way for sustainable urban mobility. Explore the guide launched by the Urban Transitions Mission and </w:t>
                              </w:r>
                              <w:r>
                                <w:rPr>
                                  <w:rFonts w:ascii="Verdana" w:hAnsi="Verdana"/>
                                  <w:color w:val="000000"/>
                                  <w:sz w:val="21"/>
                                  <w:szCs w:val="21"/>
                                </w:rPr>
                                <w:fldChar w:fldCharType="begin"/>
                              </w:r>
                              <w:r w:rsidRPr="0081445B">
                                <w:rPr>
                                  <w:rFonts w:ascii="Verdana" w:hAnsi="Verdana"/>
                                  <w:color w:val="000000"/>
                                  <w:sz w:val="21"/>
                                  <w:szCs w:val="21"/>
                                  <w:lang w:val="en-US"/>
                                </w:rPr>
                                <w:instrText xml:space="preserve"> HYPERLINK "https://urldefense.com/v3/__http:/0sgqq.mjt.lu/lnk/AW0AAD5uFwQAAAAAlpAAAA52PFgAAAAAFXAAACIjABozNABmFCFROU_L7wOXQfWS_Sb6WpOePAAZSWc/9/lpY0qaUdpj4vfq_r7tmiEw/aHR0cHM6Ly9pbnNpZ2h0cy5zdXN0YWluYWJpbGl0eS5nb29nbGUv__;!!D9dNQwwGXtA!WspGDcwaGr599MqcdjnJ8fdnLUzeK5Z-cYGgxSWRttA5Kl75C8Kjt0tX8yLI-znYLYdNMQ5Lq5m9R1-Bdle4ziomvVAFDQ$" \t "_blank" </w:instrText>
                              </w:r>
                              <w:r>
                                <w:rPr>
                                  <w:rFonts w:ascii="Verdana" w:hAnsi="Verdana"/>
                                  <w:color w:val="000000"/>
                                  <w:sz w:val="21"/>
                                  <w:szCs w:val="21"/>
                                </w:rPr>
                                <w:fldChar w:fldCharType="separate"/>
                              </w:r>
                              <w:r w:rsidRPr="0081445B">
                                <w:rPr>
                                  <w:rStyle w:val="Hipervnculo"/>
                                  <w:rFonts w:ascii="Poppins" w:hAnsi="Poppins"/>
                                  <w:color w:val="25C0E4"/>
                                  <w:sz w:val="21"/>
                                  <w:szCs w:val="21"/>
                                  <w:lang w:val="en-US"/>
                                </w:rPr>
                                <w:t>Google's Environmental Insights Explorer</w:t>
                              </w:r>
                              <w:r>
                                <w:rPr>
                                  <w:rFonts w:ascii="Verdana" w:hAnsi="Verdana"/>
                                  <w:color w:val="000000"/>
                                  <w:sz w:val="21"/>
                                  <w:szCs w:val="21"/>
                                </w:rPr>
                                <w:fldChar w:fldCharType="end"/>
                              </w:r>
                              <w:r w:rsidRPr="0081445B">
                                <w:rPr>
                                  <w:rFonts w:ascii="Poppins" w:hAnsi="Poppins"/>
                                  <w:color w:val="54544A"/>
                                  <w:sz w:val="21"/>
                                  <w:szCs w:val="21"/>
                                  <w:lang w:val="en-US"/>
                                </w:rPr>
                                <w:t xml:space="preserve"> to help cities leverage data for evidence-based urban mobility planning. </w:t>
                              </w:r>
                              <w:hyperlink r:id="rId20" w:tgtFrame="_blank" w:history="1">
                                <w:r w:rsidRPr="0081445B">
                                  <w:rPr>
                                    <w:rStyle w:val="Hipervnculo"/>
                                    <w:rFonts w:ascii="Poppins" w:hAnsi="Poppins"/>
                                    <w:color w:val="25C0E4"/>
                                    <w:sz w:val="21"/>
                                    <w:szCs w:val="21"/>
                                    <w:lang w:val="en-US"/>
                                  </w:rPr>
                                  <w:t xml:space="preserve">Access the guide </w:t>
                                </w:r>
                              </w:hyperlink>
                              <w:r w:rsidRPr="0081445B">
                                <w:rPr>
                                  <w:rFonts w:ascii="Poppins" w:hAnsi="Poppins"/>
                                  <w:color w:val="54544A"/>
                                  <w:sz w:val="21"/>
                                  <w:szCs w:val="21"/>
                                  <w:lang w:val="en-US"/>
                                </w:rPr>
                                <w:t xml:space="preserve">on the </w:t>
                              </w:r>
                              <w:hyperlink r:id="rId21" w:tgtFrame="_blank" w:history="1">
                                <w:r w:rsidRPr="0081445B">
                                  <w:rPr>
                                    <w:rStyle w:val="Hipervnculo"/>
                                    <w:rFonts w:ascii="Poppins" w:hAnsi="Poppins"/>
                                    <w:color w:val="25C0E4"/>
                                    <w:sz w:val="21"/>
                                    <w:szCs w:val="21"/>
                                    <w:lang w:val="en-US"/>
                                  </w:rPr>
                                  <w:t>UTM website</w:t>
                                </w:r>
                              </w:hyperlink>
                              <w:r w:rsidRPr="0081445B">
                                <w:rPr>
                                  <w:rFonts w:ascii="Poppins" w:hAnsi="Poppins"/>
                                  <w:color w:val="54544A"/>
                                  <w:sz w:val="21"/>
                                  <w:szCs w:val="21"/>
                                  <w:lang w:val="en-US"/>
                                </w:rPr>
                                <w:t xml:space="preserve"> and drive positive change in your city.</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Default="0081445B" w:rsidP="0081445B">
      <w:pPr>
        <w:shd w:val="clear" w:color="auto" w:fill="FFFFFF"/>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shd w:val="clear" w:color="auto" w:fill="FFFFFF"/>
                  <w:tcMar>
                    <w:top w:w="30" w:type="dxa"/>
                    <w:left w:w="0" w:type="dxa"/>
                    <w:bottom w:w="3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rsidRPr="0081445B">
                          <w:tc>
                            <w:tcPr>
                              <w:tcW w:w="0" w:type="auto"/>
                              <w:shd w:val="clear" w:color="auto" w:fill="FFFFFF"/>
                              <w:vAlign w:val="center"/>
                              <w:hideMark/>
                            </w:tcPr>
                            <w:p w:rsidR="0081445B" w:rsidRPr="0081445B" w:rsidRDefault="0081445B">
                              <w:pPr>
                                <w:pStyle w:val="text-build-content"/>
                                <w:spacing w:before="150" w:after="150"/>
                                <w:jc w:val="both"/>
                                <w:rPr>
                                  <w:rFonts w:ascii="Verdana" w:hAnsi="Verdana"/>
                                  <w:color w:val="000000"/>
                                  <w:sz w:val="21"/>
                                  <w:szCs w:val="21"/>
                                  <w:lang w:val="en-US"/>
                                </w:rPr>
                              </w:pPr>
                              <w:r w:rsidRPr="0081445B">
                                <w:rPr>
                                  <w:rFonts w:ascii="Poppins" w:hAnsi="Poppins"/>
                                  <w:b/>
                                  <w:bCs/>
                                  <w:color w:val="54544A"/>
                                  <w:sz w:val="30"/>
                                  <w:szCs w:val="30"/>
                                  <w:lang w:val="en-US"/>
                                </w:rPr>
                                <w:t xml:space="preserve">Exploring Future Hydrogen Demand in Industry: A Joint </w:t>
                              </w:r>
                              <w:r w:rsidRPr="0081445B">
                                <w:rPr>
                                  <w:rFonts w:ascii="Poppins" w:hAnsi="Poppins"/>
                                  <w:b/>
                                  <w:bCs/>
                                  <w:color w:val="54544A"/>
                                  <w:sz w:val="30"/>
                                  <w:szCs w:val="30"/>
                                  <w:lang w:val="en-US"/>
                                </w:rPr>
                                <w:lastRenderedPageBreak/>
                                <w:t>Initiative</w:t>
                              </w:r>
                            </w:p>
                            <w:p w:rsidR="0081445B" w:rsidRPr="0081445B" w:rsidRDefault="0081445B">
                              <w:pPr>
                                <w:pStyle w:val="text-build-content"/>
                                <w:spacing w:before="150" w:after="150"/>
                                <w:jc w:val="both"/>
                                <w:rPr>
                                  <w:rFonts w:ascii="Verdana" w:hAnsi="Verdana"/>
                                  <w:color w:val="000000"/>
                                  <w:sz w:val="21"/>
                                  <w:szCs w:val="21"/>
                                  <w:lang w:val="en-US"/>
                                </w:rPr>
                              </w:pPr>
                              <w:r w:rsidRPr="0081445B">
                                <w:rPr>
                                  <w:rFonts w:ascii="Poppins" w:hAnsi="Poppins"/>
                                  <w:color w:val="54544A"/>
                                  <w:sz w:val="21"/>
                                  <w:szCs w:val="21"/>
                                  <w:lang w:val="en-US"/>
                                </w:rPr>
                                <w:t>The Clean Hydrogen Mission and Net Zero Industries Mission, in collaboration with the IEA TCP on Hydrogen, are establishing a task group titled 'Future H2 Demand in Industry'. This initiative aims to provide clear insights into hydrogen utilization across industry sectors, focusing on the ramp-up of hydrogen production facilities. Experts in the field are invited to contribute to data collection, monitoring, and assessment efforts. </w:t>
                              </w:r>
                            </w:p>
                          </w:tc>
                        </w:tr>
                        <w:tr w:rsidR="0081445B">
                          <w:tc>
                            <w:tcPr>
                              <w:tcW w:w="0" w:type="auto"/>
                              <w:shd w:val="clear" w:color="auto" w:fill="FFFFFF"/>
                              <w:vAlign w:val="center"/>
                              <w:hideMark/>
                            </w:tcPr>
                            <w:p w:rsidR="0081445B" w:rsidRPr="0081445B" w:rsidRDefault="0081445B">
                              <w:pPr>
                                <w:pStyle w:val="text-build-content"/>
                                <w:spacing w:before="150" w:after="150"/>
                                <w:jc w:val="both"/>
                                <w:rPr>
                                  <w:rFonts w:ascii="Verdana" w:hAnsi="Verdana"/>
                                  <w:color w:val="000000"/>
                                  <w:sz w:val="21"/>
                                  <w:szCs w:val="21"/>
                                  <w:lang w:val="en-US"/>
                                </w:rPr>
                              </w:pPr>
                              <w:r w:rsidRPr="0081445B">
                                <w:rPr>
                                  <w:rFonts w:ascii="Poppins" w:hAnsi="Poppins"/>
                                  <w:b/>
                                  <w:bCs/>
                                  <w:color w:val="54544A"/>
                                  <w:sz w:val="30"/>
                                  <w:szCs w:val="30"/>
                                  <w:lang w:val="en-US"/>
                                </w:rPr>
                                <w:lastRenderedPageBreak/>
                                <w:t>Round Two of the Net-Zero Industries Award!</w:t>
                              </w:r>
                            </w:p>
                            <w:p w:rsidR="0081445B" w:rsidRDefault="0081445B">
                              <w:pPr>
                                <w:pStyle w:val="text-build-content"/>
                                <w:spacing w:before="150" w:after="150"/>
                                <w:jc w:val="both"/>
                                <w:rPr>
                                  <w:rFonts w:ascii="Verdana" w:hAnsi="Verdana"/>
                                  <w:color w:val="000000"/>
                                  <w:sz w:val="21"/>
                                  <w:szCs w:val="21"/>
                                </w:rPr>
                              </w:pPr>
                              <w:r w:rsidRPr="0081445B">
                                <w:rPr>
                                  <w:rFonts w:ascii="Poppins" w:hAnsi="Poppins"/>
                                  <w:color w:val="54544A"/>
                                  <w:sz w:val="21"/>
                                  <w:szCs w:val="21"/>
                                  <w:lang w:val="en-US"/>
                                </w:rPr>
                                <w:t xml:space="preserve">The Net-Zero Industries Mission is celebrating its remarkable achievements by announcing the second Net-Zero Industries Award in 2024. This prestigious award acknowledges and celebrates exceptional efforts in industrial decarbonization on a global level. The inaugural Net-Zero Industries Award 2023 received nearly 70 submissions from 16 countries, underscoring the global commitment to tackling the critical challenge of reducing emissions in heavy industry. Details on the launch of the call for entries will follow. </w:t>
                              </w:r>
                              <w:proofErr w:type="spellStart"/>
                              <w:r>
                                <w:rPr>
                                  <w:rFonts w:ascii="Poppins" w:hAnsi="Poppins"/>
                                  <w:color w:val="54544A"/>
                                  <w:sz w:val="21"/>
                                  <w:szCs w:val="21"/>
                                </w:rPr>
                                <w:t>Find</w:t>
                              </w:r>
                              <w:proofErr w:type="spellEnd"/>
                              <w:r>
                                <w:rPr>
                                  <w:rFonts w:ascii="Poppins" w:hAnsi="Poppins"/>
                                  <w:color w:val="54544A"/>
                                  <w:sz w:val="21"/>
                                  <w:szCs w:val="21"/>
                                </w:rPr>
                                <w:t xml:space="preserve"> </w:t>
                              </w:r>
                              <w:proofErr w:type="spellStart"/>
                              <w:r>
                                <w:rPr>
                                  <w:rFonts w:ascii="Poppins" w:hAnsi="Poppins"/>
                                  <w:color w:val="54544A"/>
                                  <w:sz w:val="21"/>
                                  <w:szCs w:val="21"/>
                                </w:rPr>
                                <w:t>out</w:t>
                              </w:r>
                              <w:proofErr w:type="spellEnd"/>
                              <w:r>
                                <w:rPr>
                                  <w:rFonts w:ascii="Poppins" w:hAnsi="Poppins"/>
                                  <w:color w:val="54544A"/>
                                  <w:sz w:val="21"/>
                                  <w:szCs w:val="21"/>
                                </w:rPr>
                                <w:t xml:space="preserve"> more </w:t>
                              </w:r>
                              <w:proofErr w:type="spellStart"/>
                              <w:r>
                                <w:rPr>
                                  <w:rFonts w:ascii="Poppins" w:hAnsi="Poppins"/>
                                  <w:color w:val="54544A"/>
                                  <w:sz w:val="21"/>
                                  <w:szCs w:val="21"/>
                                </w:rPr>
                                <w:t>about</w:t>
                              </w:r>
                              <w:proofErr w:type="spellEnd"/>
                              <w:r>
                                <w:rPr>
                                  <w:rFonts w:ascii="Poppins" w:hAnsi="Poppins"/>
                                  <w:color w:val="54544A"/>
                                  <w:sz w:val="21"/>
                                  <w:szCs w:val="21"/>
                                </w:rPr>
                                <w:t xml:space="preserve"> </w:t>
                              </w:r>
                              <w:proofErr w:type="spellStart"/>
                              <w:r>
                                <w:rPr>
                                  <w:rFonts w:ascii="Poppins" w:hAnsi="Poppins"/>
                                  <w:color w:val="54544A"/>
                                  <w:sz w:val="21"/>
                                  <w:szCs w:val="21"/>
                                </w:rPr>
                                <w:t>last</w:t>
                              </w:r>
                              <w:proofErr w:type="spellEnd"/>
                              <w:r>
                                <w:rPr>
                                  <w:rFonts w:ascii="Poppins" w:hAnsi="Poppins"/>
                                  <w:color w:val="54544A"/>
                                  <w:sz w:val="21"/>
                                  <w:szCs w:val="21"/>
                                </w:rPr>
                                <w:t xml:space="preserve"> </w:t>
                              </w:r>
                              <w:proofErr w:type="spellStart"/>
                              <w:r>
                                <w:rPr>
                                  <w:rFonts w:ascii="Poppins" w:hAnsi="Poppins"/>
                                  <w:color w:val="54544A"/>
                                  <w:sz w:val="21"/>
                                  <w:szCs w:val="21"/>
                                </w:rPr>
                                <w:t>year's</w:t>
                              </w:r>
                              <w:proofErr w:type="spellEnd"/>
                              <w:r>
                                <w:rPr>
                                  <w:rFonts w:ascii="Poppins" w:hAnsi="Poppins"/>
                                  <w:color w:val="54544A"/>
                                  <w:sz w:val="21"/>
                                  <w:szCs w:val="21"/>
                                </w:rPr>
                                <w:t xml:space="preserve"> </w:t>
                              </w:r>
                              <w:proofErr w:type="spellStart"/>
                              <w:r>
                                <w:rPr>
                                  <w:rFonts w:ascii="Poppins" w:hAnsi="Poppins"/>
                                  <w:color w:val="54544A"/>
                                  <w:sz w:val="21"/>
                                  <w:szCs w:val="21"/>
                                </w:rPr>
                                <w:t>winners</w:t>
                              </w:r>
                              <w:proofErr w:type="spellEnd"/>
                              <w:r>
                                <w:rPr>
                                  <w:rFonts w:ascii="Poppins" w:hAnsi="Poppins"/>
                                  <w:color w:val="54544A"/>
                                  <w:sz w:val="21"/>
                                  <w:szCs w:val="21"/>
                                </w:rPr>
                                <w:t xml:space="preserve"> </w:t>
                              </w:r>
                              <w:hyperlink r:id="rId22" w:tgtFrame="_blank" w:history="1">
                                <w:proofErr w:type="spellStart"/>
                                <w:r>
                                  <w:rPr>
                                    <w:rStyle w:val="Hipervnculo"/>
                                    <w:rFonts w:ascii="Poppins" w:hAnsi="Poppins"/>
                                    <w:color w:val="25C0E4"/>
                                    <w:sz w:val="21"/>
                                    <w:szCs w:val="21"/>
                                  </w:rPr>
                                  <w:t>here</w:t>
                                </w:r>
                                <w:proofErr w:type="spellEnd"/>
                                <w:r>
                                  <w:rPr>
                                    <w:rStyle w:val="Hipervnculo"/>
                                    <w:rFonts w:ascii="Poppins" w:hAnsi="Poppins"/>
                                    <w:color w:val="25C0E4"/>
                                    <w:sz w:val="21"/>
                                    <w:szCs w:val="21"/>
                                  </w:rPr>
                                  <w:t>.</w:t>
                                </w:r>
                              </w:hyperlink>
                            </w:p>
                          </w:tc>
                        </w:tr>
                        <w:tr w:rsidR="0081445B" w:rsidRPr="0081445B">
                          <w:tc>
                            <w:tcPr>
                              <w:tcW w:w="0" w:type="auto"/>
                              <w:shd w:val="clear" w:color="auto" w:fill="FFFFFF"/>
                              <w:vAlign w:val="center"/>
                              <w:hideMark/>
                            </w:tcPr>
                            <w:p w:rsidR="0081445B" w:rsidRPr="0081445B" w:rsidRDefault="0081445B">
                              <w:pPr>
                                <w:pStyle w:val="text-build-content"/>
                                <w:spacing w:before="150" w:after="150"/>
                                <w:jc w:val="both"/>
                                <w:rPr>
                                  <w:rFonts w:ascii="Verdana" w:hAnsi="Verdana"/>
                                  <w:color w:val="000000"/>
                                  <w:sz w:val="21"/>
                                  <w:szCs w:val="21"/>
                                  <w:lang w:val="en-US"/>
                                </w:rPr>
                              </w:pPr>
                              <w:r w:rsidRPr="0081445B">
                                <w:rPr>
                                  <w:rFonts w:ascii="Poppins" w:hAnsi="Poppins"/>
                                  <w:b/>
                                  <w:bCs/>
                                  <w:color w:val="54544A"/>
                                  <w:sz w:val="30"/>
                                  <w:szCs w:val="30"/>
                                  <w:lang w:val="en-US"/>
                                </w:rPr>
                                <w:t>Integrated Biorefineries Mission Webinar Highlights</w:t>
                              </w:r>
                            </w:p>
                            <w:p w:rsidR="0081445B" w:rsidRPr="0081445B" w:rsidRDefault="0081445B">
                              <w:pPr>
                                <w:pStyle w:val="text-build-content"/>
                                <w:spacing w:before="150" w:after="150"/>
                                <w:jc w:val="both"/>
                                <w:rPr>
                                  <w:rFonts w:ascii="Verdana" w:hAnsi="Verdana"/>
                                  <w:color w:val="000000"/>
                                  <w:sz w:val="21"/>
                                  <w:szCs w:val="21"/>
                                  <w:lang w:val="en-US"/>
                                </w:rPr>
                              </w:pPr>
                              <w:r w:rsidRPr="0081445B">
                                <w:rPr>
                                  <w:rFonts w:ascii="Poppins" w:hAnsi="Poppins"/>
                                  <w:color w:val="54544A"/>
                                  <w:sz w:val="21"/>
                                  <w:szCs w:val="21"/>
                                  <w:lang w:val="en-US"/>
                                </w:rPr>
                                <w:t xml:space="preserve">In January 2024, the Integrated Biorefineries Mission held its third webinar, hosted by Innovate UK KTN, bringing together 156 participants from 21 nations to exchange strategies for enhancing the economic sustainability of biorefineries by generating higher value products. Discover the outcomes and next steps by reading the </w:t>
                              </w:r>
                              <w:hyperlink r:id="rId23" w:tgtFrame="_blank" w:history="1">
                                <w:r w:rsidRPr="0081445B">
                                  <w:rPr>
                                    <w:rStyle w:val="Hipervnculo"/>
                                    <w:rFonts w:ascii="Poppins" w:hAnsi="Poppins"/>
                                    <w:color w:val="25C0E4"/>
                                    <w:sz w:val="21"/>
                                    <w:szCs w:val="21"/>
                                    <w:lang w:val="en-US"/>
                                  </w:rPr>
                                  <w:t xml:space="preserve">report </w:t>
                                </w:r>
                              </w:hyperlink>
                              <w:r w:rsidRPr="0081445B">
                                <w:rPr>
                                  <w:rFonts w:ascii="Poppins" w:hAnsi="Poppins"/>
                                  <w:color w:val="54544A"/>
                                  <w:sz w:val="21"/>
                                  <w:szCs w:val="21"/>
                                  <w:lang w:val="en-US"/>
                                </w:rPr>
                                <w:t xml:space="preserve">and watching the </w:t>
                              </w:r>
                              <w:hyperlink r:id="rId24" w:tgtFrame="_blank" w:history="1">
                                <w:r w:rsidRPr="0081445B">
                                  <w:rPr>
                                    <w:rStyle w:val="Hipervnculo"/>
                                    <w:rFonts w:ascii="Poppins" w:hAnsi="Poppins"/>
                                    <w:color w:val="25C0E4"/>
                                    <w:sz w:val="21"/>
                                    <w:szCs w:val="21"/>
                                    <w:lang w:val="en-US"/>
                                  </w:rPr>
                                  <w:t>recording</w:t>
                                </w:r>
                              </w:hyperlink>
                              <w:r w:rsidRPr="0081445B">
                                <w:rPr>
                                  <w:rFonts w:ascii="Poppins" w:hAnsi="Poppins"/>
                                  <w:color w:val="54544A"/>
                                  <w:sz w:val="21"/>
                                  <w:szCs w:val="21"/>
                                  <w:lang w:val="en-US"/>
                                </w:rPr>
                                <w:t>.</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Default="0081445B" w:rsidP="0081445B">
      <w:pPr>
        <w:shd w:val="clear" w:color="auto" w:fill="FFFFFF"/>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shd w:val="clear" w:color="auto" w:fill="FFFFFF"/>
                  <w:tcMar>
                    <w:top w:w="30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81445B">
                                <w:trPr>
                                  <w:jc w:val="center"/>
                                </w:trPr>
                                <w:tc>
                                  <w:tcPr>
                                    <w:tcW w:w="8250" w:type="dxa"/>
                                    <w:vAlign w:val="center"/>
                                    <w:hideMark/>
                                  </w:tcPr>
                                  <w:p w:rsidR="0081445B" w:rsidRDefault="0081445B">
                                    <w:pPr>
                                      <w:rPr>
                                        <w:rFonts w:eastAsia="Times New Roman"/>
                                      </w:rPr>
                                    </w:pPr>
                                    <w:r>
                                      <w:rPr>
                                        <w:rFonts w:eastAsia="Times New Roman"/>
                                        <w:noProof/>
                                      </w:rPr>
                                      <w:lastRenderedPageBreak/>
                                      <w:drawing>
                                        <wp:inline distT="0" distB="0" distL="0" distR="0">
                                          <wp:extent cx="5238750" cy="5238750"/>
                                          <wp:effectExtent l="0" t="0" r="0" b="0"/>
                                          <wp:docPr id="3" name="Imagen 3" descr="http://0sgqq.mjt.lu/img2/0sgqq/e3a05d25-7425-40ab-9ce7-59365d52f783/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0sgqq.mjt.lu/img2/0sgqq/e3a05d25-7425-40ab-9ce7-59365d52f783/cont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5238750"/>
                                                  </a:xfrm>
                                                  <a:prstGeom prst="rect">
                                                    <a:avLst/>
                                                  </a:prstGeom>
                                                  <a:noFill/>
                                                  <a:ln>
                                                    <a:noFill/>
                                                  </a:ln>
                                                </pic:spPr>
                                              </pic:pic>
                                            </a:graphicData>
                                          </a:graphic>
                                        </wp:inline>
                                      </w:drawing>
                                    </w:r>
                                  </w:p>
                                </w:tc>
                              </w:tr>
                            </w:tbl>
                            <w:p w:rsidR="0081445B" w:rsidRDefault="0081445B">
                              <w:pPr>
                                <w:jc w:val="center"/>
                                <w:rPr>
                                  <w:rFonts w:eastAsia="Times New Roman"/>
                                  <w:sz w:val="20"/>
                                  <w:szCs w:val="20"/>
                                </w:rPr>
                              </w:pPr>
                            </w:p>
                          </w:tc>
                        </w:tr>
                        <w:tr w:rsidR="0081445B" w:rsidRPr="0081445B">
                          <w:tc>
                            <w:tcPr>
                              <w:tcW w:w="0" w:type="auto"/>
                              <w:tcMar>
                                <w:top w:w="0" w:type="dxa"/>
                                <w:left w:w="375" w:type="dxa"/>
                                <w:bottom w:w="0" w:type="dxa"/>
                                <w:right w:w="375" w:type="dxa"/>
                              </w:tcMar>
                              <w:vAlign w:val="center"/>
                              <w:hideMark/>
                            </w:tcPr>
                            <w:p w:rsidR="0081445B" w:rsidRPr="0081445B" w:rsidRDefault="0081445B">
                              <w:pPr>
                                <w:pStyle w:val="text-build-content"/>
                                <w:spacing w:before="150" w:after="150"/>
                                <w:rPr>
                                  <w:rFonts w:ascii="Verdana" w:hAnsi="Verdana"/>
                                  <w:color w:val="000000"/>
                                  <w:sz w:val="21"/>
                                  <w:szCs w:val="21"/>
                                  <w:lang w:val="en-US"/>
                                </w:rPr>
                              </w:pPr>
                              <w:r w:rsidRPr="0081445B">
                                <w:rPr>
                                  <w:rFonts w:ascii="Poppins" w:hAnsi="Poppins"/>
                                  <w:b/>
                                  <w:bCs/>
                                  <w:color w:val="54544A"/>
                                  <w:sz w:val="30"/>
                                  <w:szCs w:val="30"/>
                                  <w:lang w:val="en-US"/>
                                </w:rPr>
                                <w:t>Urban Transitions Mission's Training Sessions on Renewable Energy Technologies</w:t>
                              </w:r>
                            </w:p>
                            <w:p w:rsidR="0081445B" w:rsidRPr="0081445B" w:rsidRDefault="0081445B">
                              <w:pPr>
                                <w:pStyle w:val="text-build-content"/>
                                <w:spacing w:before="150" w:after="150" w:line="300" w:lineRule="exact"/>
                                <w:jc w:val="both"/>
                                <w:rPr>
                                  <w:rFonts w:ascii="Verdana" w:hAnsi="Verdana"/>
                                  <w:color w:val="000000"/>
                                  <w:sz w:val="21"/>
                                  <w:szCs w:val="21"/>
                                  <w:lang w:val="en-US"/>
                                </w:rPr>
                              </w:pPr>
                              <w:r w:rsidRPr="0081445B">
                                <w:rPr>
                                  <w:rFonts w:ascii="Poppins" w:hAnsi="Poppins"/>
                                  <w:color w:val="54544A"/>
                                  <w:sz w:val="21"/>
                                  <w:szCs w:val="21"/>
                                  <w:lang w:val="en-US"/>
                                </w:rPr>
                                <w:t xml:space="preserve">Together with the International Renewable Energy Agency, the Urban Transitions Mission is hosting a series of nine training and knowledge sharing sessions on renewable energy technologies. </w:t>
                              </w:r>
                              <w:hyperlink r:id="rId26" w:tgtFrame="_blank" w:history="1">
                                <w:r w:rsidRPr="0081445B">
                                  <w:rPr>
                                    <w:rStyle w:val="Hipervnculo"/>
                                    <w:rFonts w:ascii="Poppins" w:hAnsi="Poppins"/>
                                    <w:color w:val="25C0E4"/>
                                    <w:sz w:val="21"/>
                                    <w:szCs w:val="21"/>
                                    <w:lang w:val="en-US"/>
                                  </w:rPr>
                                  <w:t>These sessions</w:t>
                                </w:r>
                              </w:hyperlink>
                              <w:r w:rsidRPr="0081445B">
                                <w:rPr>
                                  <w:rFonts w:ascii="Poppins" w:hAnsi="Poppins"/>
                                  <w:color w:val="54544A"/>
                                  <w:sz w:val="21"/>
                                  <w:szCs w:val="21"/>
                                  <w:lang w:val="en-US"/>
                                </w:rPr>
                                <w:t xml:space="preserve">, running from February 14th to June 19th, aim to support practical solutions in cities worldwide. </w:t>
                              </w:r>
                              <w:hyperlink r:id="rId27" w:tgtFrame="_blank" w:history="1">
                                <w:r w:rsidRPr="0081445B">
                                  <w:rPr>
                                    <w:rStyle w:val="Hipervnculo"/>
                                    <w:rFonts w:ascii="Poppins" w:hAnsi="Poppins"/>
                                    <w:color w:val="25C0E4"/>
                                    <w:sz w:val="21"/>
                                    <w:szCs w:val="21"/>
                                    <w:lang w:val="en-US"/>
                                  </w:rPr>
                                  <w:t>Register now</w:t>
                                </w:r>
                              </w:hyperlink>
                              <w:r w:rsidRPr="0081445B">
                                <w:rPr>
                                  <w:rFonts w:ascii="Poppins" w:hAnsi="Poppins"/>
                                  <w:color w:val="54544A"/>
                                  <w:sz w:val="21"/>
                                  <w:szCs w:val="21"/>
                                  <w:lang w:val="en-US"/>
                                </w:rPr>
                                <w:t xml:space="preserve"> and join the </w:t>
                              </w:r>
                              <w:hyperlink r:id="rId28" w:tgtFrame="_blank" w:history="1">
                                <w:r w:rsidRPr="0081445B">
                                  <w:rPr>
                                    <w:rStyle w:val="Hipervnculo"/>
                                    <w:rFonts w:ascii="Poppins" w:hAnsi="Poppins"/>
                                    <w:color w:val="25C0E4"/>
                                    <w:sz w:val="21"/>
                                    <w:szCs w:val="21"/>
                                    <w:lang w:val="en-US"/>
                                  </w:rPr>
                                  <w:t xml:space="preserve">Energy Cluster on UTMC </w:t>
                                </w:r>
                              </w:hyperlink>
                              <w:r w:rsidRPr="0081445B">
                                <w:rPr>
                                  <w:rFonts w:ascii="Poppins" w:hAnsi="Poppins"/>
                                  <w:color w:val="54544A"/>
                                  <w:sz w:val="21"/>
                                  <w:szCs w:val="21"/>
                                  <w:lang w:val="en-US"/>
                                </w:rPr>
                                <w:t>for more opportunities.</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Default="0081445B" w:rsidP="0081445B">
      <w:pPr>
        <w:shd w:val="clear" w:color="auto" w:fill="FFFFFF"/>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shd w:val="clear" w:color="auto" w:fill="FFFFFF"/>
                  <w:tcMar>
                    <w:top w:w="30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970"/>
                    <w:gridCol w:w="6030"/>
                  </w:tblGrid>
                  <w:tr w:rsidR="0081445B" w:rsidRPr="0081445B">
                    <w:trPr>
                      <w:jc w:val="center"/>
                    </w:trPr>
                    <w:tc>
                      <w:tcPr>
                        <w:tcW w:w="2970" w:type="dxa"/>
                        <w:hideMark/>
                      </w:tcPr>
                      <w:tbl>
                        <w:tblPr>
                          <w:tblW w:w="5000" w:type="pct"/>
                          <w:tblCellMar>
                            <w:left w:w="0" w:type="dxa"/>
                            <w:right w:w="0" w:type="dxa"/>
                          </w:tblCellMar>
                          <w:tblLook w:val="04A0" w:firstRow="1" w:lastRow="0" w:firstColumn="1" w:lastColumn="0" w:noHBand="0" w:noVBand="1"/>
                        </w:tblPr>
                        <w:tblGrid>
                          <w:gridCol w:w="2970"/>
                        </w:tblGrid>
                        <w:tr w:rsidR="0081445B">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2220"/>
                              </w:tblGrid>
                              <w:tr w:rsidR="0081445B">
                                <w:trPr>
                                  <w:jc w:val="center"/>
                                </w:trPr>
                                <w:tc>
                                  <w:tcPr>
                                    <w:tcW w:w="2220" w:type="dxa"/>
                                    <w:vAlign w:val="center"/>
                                    <w:hideMark/>
                                  </w:tcPr>
                                  <w:p w:rsidR="0081445B" w:rsidRDefault="0081445B">
                                    <w:pPr>
                                      <w:rPr>
                                        <w:rFonts w:eastAsia="Times New Roman"/>
                                      </w:rPr>
                                    </w:pPr>
                                    <w:r>
                                      <w:rPr>
                                        <w:rFonts w:eastAsia="Times New Roman"/>
                                        <w:noProof/>
                                      </w:rPr>
                                      <w:lastRenderedPageBreak/>
                                      <w:drawing>
                                        <wp:inline distT="0" distB="0" distL="0" distR="0">
                                          <wp:extent cx="1409700" cy="2105025"/>
                                          <wp:effectExtent l="0" t="0" r="0" b="9525"/>
                                          <wp:docPr id="2" name="Imagen 2" descr="http://0sgqq.mjt.lu/img2/0sgqq/9b04f102-9b32-4ad7-ab3f-e0022b5feae3/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0sgqq.mjt.lu/img2/0sgqq/9b04f102-9b32-4ad7-ab3f-e0022b5feae3/conten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2105025"/>
                                                  </a:xfrm>
                                                  <a:prstGeom prst="rect">
                                                    <a:avLst/>
                                                  </a:prstGeom>
                                                  <a:noFill/>
                                                  <a:ln>
                                                    <a:noFill/>
                                                  </a:ln>
                                                </pic:spPr>
                                              </pic:pic>
                                            </a:graphicData>
                                          </a:graphic>
                                        </wp:inline>
                                      </w:drawing>
                                    </w:r>
                                  </w:p>
                                </w:tc>
                              </w:tr>
                            </w:tbl>
                            <w:p w:rsidR="0081445B" w:rsidRDefault="0081445B">
                              <w:pPr>
                                <w:jc w:val="center"/>
                                <w:rPr>
                                  <w:rFonts w:eastAsia="Times New Roman"/>
                                  <w:sz w:val="20"/>
                                  <w:szCs w:val="20"/>
                                </w:rPr>
                              </w:pPr>
                            </w:p>
                          </w:tc>
                        </w:tr>
                      </w:tbl>
                      <w:p w:rsidR="0081445B" w:rsidRDefault="0081445B">
                        <w:pPr>
                          <w:rPr>
                            <w:rFonts w:eastAsia="Times New Roman"/>
                            <w:sz w:val="20"/>
                            <w:szCs w:val="20"/>
                          </w:rPr>
                        </w:pPr>
                      </w:p>
                    </w:tc>
                    <w:tc>
                      <w:tcPr>
                        <w:tcW w:w="6030" w:type="dxa"/>
                        <w:hideMark/>
                      </w:tcPr>
                      <w:tbl>
                        <w:tblPr>
                          <w:tblW w:w="5000" w:type="pct"/>
                          <w:tblCellMar>
                            <w:left w:w="0" w:type="dxa"/>
                            <w:right w:w="0" w:type="dxa"/>
                          </w:tblCellMar>
                          <w:tblLook w:val="04A0" w:firstRow="1" w:lastRow="0" w:firstColumn="1" w:lastColumn="0" w:noHBand="0" w:noVBand="1"/>
                        </w:tblPr>
                        <w:tblGrid>
                          <w:gridCol w:w="6030"/>
                        </w:tblGrid>
                        <w:tr w:rsidR="0081445B" w:rsidRPr="0081445B">
                          <w:tc>
                            <w:tcPr>
                              <w:tcW w:w="0" w:type="auto"/>
                              <w:tcMar>
                                <w:top w:w="0" w:type="dxa"/>
                                <w:left w:w="375" w:type="dxa"/>
                                <w:bottom w:w="0" w:type="dxa"/>
                                <w:right w:w="375" w:type="dxa"/>
                              </w:tcMar>
                              <w:vAlign w:val="center"/>
                              <w:hideMark/>
                            </w:tcPr>
                            <w:p w:rsidR="0081445B" w:rsidRPr="0081445B" w:rsidRDefault="0081445B">
                              <w:pPr>
                                <w:pStyle w:val="text-build-content"/>
                                <w:spacing w:before="150" w:after="150"/>
                                <w:rPr>
                                  <w:rFonts w:ascii="Verdana" w:hAnsi="Verdana"/>
                                  <w:color w:val="000000"/>
                                  <w:sz w:val="21"/>
                                  <w:szCs w:val="21"/>
                                  <w:lang w:val="en-US"/>
                                </w:rPr>
                              </w:pPr>
                              <w:r w:rsidRPr="0081445B">
                                <w:rPr>
                                  <w:rFonts w:ascii="Poppins" w:hAnsi="Poppins"/>
                                  <w:b/>
                                  <w:bCs/>
                                  <w:color w:val="54544A"/>
                                  <w:sz w:val="30"/>
                                  <w:szCs w:val="30"/>
                                  <w:lang w:val="en-US"/>
                                </w:rPr>
                                <w:t>Welcome CDR Mission Coordinator, Juho Lipponen</w:t>
                              </w:r>
                            </w:p>
                            <w:p w:rsidR="0081445B" w:rsidRPr="0081445B" w:rsidRDefault="0081445B">
                              <w:pPr>
                                <w:pStyle w:val="text-build-content"/>
                                <w:spacing w:before="150" w:after="150" w:line="300" w:lineRule="exact"/>
                                <w:jc w:val="both"/>
                                <w:rPr>
                                  <w:rFonts w:ascii="Verdana" w:hAnsi="Verdana"/>
                                  <w:color w:val="000000"/>
                                  <w:sz w:val="21"/>
                                  <w:szCs w:val="21"/>
                                  <w:lang w:val="en-US"/>
                                </w:rPr>
                              </w:pPr>
                              <w:r w:rsidRPr="0081445B">
                                <w:rPr>
                                  <w:rFonts w:ascii="Poppins" w:hAnsi="Poppins"/>
                                  <w:color w:val="54544A"/>
                                  <w:sz w:val="21"/>
                                  <w:szCs w:val="21"/>
                                  <w:lang w:val="en-US"/>
                                </w:rPr>
                                <w:t>We're delighted to welcome Juho Lipponen as the CDR Mission Coordinator, thanks to the support from the US Department of Energy’s Office of Fossil Energy and Carbon Management.</w:t>
                              </w:r>
                            </w:p>
                            <w:p w:rsidR="0081445B" w:rsidRPr="0081445B" w:rsidRDefault="0081445B">
                              <w:pPr>
                                <w:pStyle w:val="text-build-content"/>
                                <w:spacing w:before="150" w:after="150" w:line="300" w:lineRule="exact"/>
                                <w:jc w:val="both"/>
                                <w:rPr>
                                  <w:rFonts w:ascii="Verdana" w:hAnsi="Verdana"/>
                                  <w:color w:val="000000"/>
                                  <w:sz w:val="21"/>
                                  <w:szCs w:val="21"/>
                                  <w:lang w:val="en-US"/>
                                </w:rPr>
                              </w:pPr>
                              <w:r w:rsidRPr="0081445B">
                                <w:rPr>
                                  <w:rFonts w:ascii="Poppins" w:hAnsi="Poppins"/>
                                  <w:color w:val="54544A"/>
                                  <w:sz w:val="21"/>
                                  <w:szCs w:val="21"/>
                                  <w:lang w:val="en-US"/>
                                </w:rPr>
                                <w:t>As coordinator of the CEM CCUS Initiative and hosted by the IEAGHG, Juho is not only helping to drive success in the CDR Mission but is also helping to strengthen collaboration between these global organizations.</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Default="0081445B" w:rsidP="0081445B">
      <w:pPr>
        <w:shd w:val="clear" w:color="auto" w:fill="FFFFFF"/>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shd w:val="clear" w:color="auto" w:fill="FFFFFF"/>
                  <w:tcMar>
                    <w:top w:w="30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rsidRPr="0081445B">
                          <w:tc>
                            <w:tcPr>
                              <w:tcW w:w="0" w:type="auto"/>
                              <w:tcMar>
                                <w:top w:w="0" w:type="dxa"/>
                                <w:left w:w="375" w:type="dxa"/>
                                <w:bottom w:w="0" w:type="dxa"/>
                                <w:right w:w="375" w:type="dxa"/>
                              </w:tcMar>
                              <w:vAlign w:val="center"/>
                              <w:hideMark/>
                            </w:tcPr>
                            <w:p w:rsidR="0081445B" w:rsidRPr="0081445B" w:rsidRDefault="0081445B">
                              <w:pPr>
                                <w:pStyle w:val="text-build-content"/>
                                <w:spacing w:before="150" w:after="150"/>
                                <w:rPr>
                                  <w:rFonts w:ascii="Verdana" w:hAnsi="Verdana"/>
                                  <w:color w:val="000000"/>
                                  <w:sz w:val="21"/>
                                  <w:szCs w:val="21"/>
                                  <w:lang w:val="en-US"/>
                                </w:rPr>
                              </w:pPr>
                              <w:r w:rsidRPr="0081445B">
                                <w:rPr>
                                  <w:rFonts w:ascii="Poppins" w:hAnsi="Poppins"/>
                                  <w:b/>
                                  <w:bCs/>
                                  <w:color w:val="54544A"/>
                                  <w:sz w:val="30"/>
                                  <w:szCs w:val="30"/>
                                  <w:lang w:val="en-US"/>
                                </w:rPr>
                                <w:t>Key Insights on Trust and Technology Transfer in Industrial Decarbonisation</w:t>
                              </w:r>
                            </w:p>
                            <w:p w:rsidR="0081445B" w:rsidRPr="0081445B" w:rsidRDefault="0081445B">
                              <w:pPr>
                                <w:pStyle w:val="text-build-content"/>
                                <w:spacing w:before="150" w:after="150" w:line="300" w:lineRule="exact"/>
                                <w:jc w:val="both"/>
                                <w:rPr>
                                  <w:rFonts w:ascii="Verdana" w:hAnsi="Verdana"/>
                                  <w:color w:val="000000"/>
                                  <w:sz w:val="21"/>
                                  <w:szCs w:val="21"/>
                                  <w:lang w:val="en-US"/>
                                </w:rPr>
                              </w:pPr>
                              <w:r w:rsidRPr="0081445B">
                                <w:rPr>
                                  <w:rFonts w:ascii="Poppins" w:hAnsi="Poppins"/>
                                  <w:color w:val="54544A"/>
                                  <w:sz w:val="21"/>
                                  <w:szCs w:val="21"/>
                                  <w:lang w:val="en-US"/>
                                </w:rPr>
                                <w:t>The Net-Zero Industries Mission recently published two significant white papers. The first one, “</w:t>
                              </w:r>
                              <w:hyperlink r:id="rId30" w:tgtFrame="_blank" w:history="1">
                                <w:r w:rsidRPr="0081445B">
                                  <w:rPr>
                                    <w:rStyle w:val="Hipervnculo"/>
                                    <w:rFonts w:ascii="Poppins" w:hAnsi="Poppins"/>
                                    <w:color w:val="25C0E4"/>
                                    <w:sz w:val="21"/>
                                    <w:szCs w:val="21"/>
                                    <w:lang w:val="en-US"/>
                                  </w:rPr>
                                  <w:t>Currency of Trust,</w:t>
                                </w:r>
                              </w:hyperlink>
                              <w:r w:rsidRPr="0081445B">
                                <w:rPr>
                                  <w:rFonts w:ascii="Poppins" w:hAnsi="Poppins"/>
                                  <w:color w:val="54544A"/>
                                  <w:sz w:val="21"/>
                                  <w:szCs w:val="21"/>
                                  <w:lang w:val="en-US"/>
                                </w:rPr>
                                <w:t>” emphasizes the pivotal role trust plays in accelerating the adoption and deployment of industrial decarbonisation technologies. Developed in collaboration with partners from Breakthrough Steel, CEM-Industrial Deep Decarbonization Initiative, LeadIT and IRENA's Alliance for Industry Decarbonization, the second paper, "</w:t>
                              </w:r>
                              <w:hyperlink r:id="rId31" w:tgtFrame="_blank" w:history="1">
                                <w:r w:rsidRPr="0081445B">
                                  <w:rPr>
                                    <w:rStyle w:val="Hipervnculo"/>
                                    <w:rFonts w:ascii="Poppins" w:hAnsi="Poppins"/>
                                    <w:color w:val="25C0E4"/>
                                    <w:sz w:val="21"/>
                                    <w:szCs w:val="21"/>
                                    <w:lang w:val="en-US"/>
                                  </w:rPr>
                                  <w:t>Accelerating Industrial Decarbonisation through Technology Transfer, Knowledge Sharing and Learning with Emerging Economies</w:t>
                                </w:r>
                              </w:hyperlink>
                              <w:r w:rsidRPr="0081445B">
                                <w:rPr>
                                  <w:rFonts w:ascii="Poppins" w:hAnsi="Poppins"/>
                                  <w:color w:val="54544A"/>
                                  <w:sz w:val="21"/>
                                  <w:szCs w:val="21"/>
                                  <w:lang w:val="en-US"/>
                                </w:rPr>
                                <w:t>," provides an overview of barriers, challenges, strategies, and measures to facilitate and accelerate industrial decarbonization. Drawing from international workshops, it offers actionable insights for both developed and emerging economies.</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Default="0081445B" w:rsidP="0081445B">
      <w:pPr>
        <w:shd w:val="clear" w:color="auto" w:fill="FFFFFF"/>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tcMar>
                    <w:top w:w="15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tc>
                            <w:tcPr>
                              <w:tcW w:w="0" w:type="auto"/>
                              <w:vAlign w:val="center"/>
                              <w:hideMark/>
                            </w:tcPr>
                            <w:p w:rsidR="0081445B" w:rsidRDefault="0081445B">
                              <w:pPr>
                                <w:pStyle w:val="text-build-content"/>
                                <w:spacing w:before="150" w:after="150"/>
                                <w:rPr>
                                  <w:rFonts w:ascii="Arial" w:hAnsi="Arial" w:cs="Arial"/>
                                  <w:color w:val="000000"/>
                                  <w:sz w:val="30"/>
                                  <w:szCs w:val="30"/>
                                </w:rPr>
                              </w:pPr>
                              <w:proofErr w:type="spellStart"/>
                              <w:r>
                                <w:rPr>
                                  <w:rFonts w:ascii="Poppins" w:hAnsi="Poppins" w:cs="Arial"/>
                                  <w:b/>
                                  <w:bCs/>
                                  <w:color w:val="91D663"/>
                                  <w:sz w:val="30"/>
                                  <w:szCs w:val="30"/>
                                </w:rPr>
                                <w:t>Upcoming</w:t>
                              </w:r>
                              <w:proofErr w:type="spellEnd"/>
                              <w:r>
                                <w:rPr>
                                  <w:rFonts w:ascii="Poppins" w:hAnsi="Poppins" w:cs="Arial"/>
                                  <w:b/>
                                  <w:bCs/>
                                  <w:color w:val="91D663"/>
                                  <w:sz w:val="30"/>
                                  <w:szCs w:val="30"/>
                                </w:rPr>
                                <w:t xml:space="preserve"> </w:t>
                              </w:r>
                              <w:proofErr w:type="spellStart"/>
                              <w:r>
                                <w:rPr>
                                  <w:rFonts w:ascii="Poppins" w:hAnsi="Poppins" w:cs="Arial"/>
                                  <w:b/>
                                  <w:bCs/>
                                  <w:color w:val="91D663"/>
                                  <w:sz w:val="30"/>
                                  <w:szCs w:val="30"/>
                                </w:rPr>
                                <w:t>Events</w:t>
                              </w:r>
                              <w:proofErr w:type="spellEnd"/>
                            </w:p>
                          </w:tc>
                        </w:tr>
                        <w:tr w:rsidR="0081445B" w:rsidRPr="0081445B">
                          <w:tc>
                            <w:tcPr>
                              <w:tcW w:w="0" w:type="auto"/>
                              <w:vAlign w:val="center"/>
                              <w:hideMark/>
                            </w:tcPr>
                            <w:p w:rsidR="0081445B" w:rsidRPr="0081445B" w:rsidRDefault="0081445B" w:rsidP="0081445B">
                              <w:pPr>
                                <w:numPr>
                                  <w:ilvl w:val="0"/>
                                  <w:numId w:val="2"/>
                                </w:numPr>
                                <w:spacing w:before="100" w:beforeAutospacing="1" w:after="100" w:afterAutospacing="1" w:line="300" w:lineRule="exact"/>
                                <w:jc w:val="both"/>
                                <w:rPr>
                                  <w:rFonts w:ascii="Verdana" w:eastAsia="Times New Roman" w:hAnsi="Verdana"/>
                                  <w:color w:val="000000"/>
                                  <w:sz w:val="21"/>
                                  <w:szCs w:val="21"/>
                                  <w:lang w:val="en-US"/>
                                </w:rPr>
                              </w:pPr>
                              <w:r w:rsidRPr="0081445B">
                                <w:rPr>
                                  <w:rFonts w:ascii="Poppins" w:eastAsia="Times New Roman" w:hAnsi="Poppins"/>
                                  <w:b/>
                                  <w:bCs/>
                                  <w:color w:val="54544A"/>
                                  <w:sz w:val="21"/>
                                  <w:szCs w:val="21"/>
                                  <w:lang w:val="en-US"/>
                                </w:rPr>
                                <w:t>Zero-Emission Shipping Mission: How international public-private collaboration accelerates the green maritime transition| 15 April, 2024 –</w:t>
                              </w:r>
                              <w:r w:rsidRPr="0081445B">
                                <w:rPr>
                                  <w:rFonts w:ascii="Poppins" w:eastAsia="Times New Roman" w:hAnsi="Poppins"/>
                                  <w:color w:val="54544A"/>
                                  <w:sz w:val="21"/>
                                  <w:szCs w:val="21"/>
                                  <w:lang w:val="en-US"/>
                                </w:rPr>
                                <w:t xml:space="preserve"> This in-person event at </w:t>
                              </w:r>
                              <w:hyperlink r:id="rId32" w:tgtFrame="_blank" w:history="1">
                                <w:r w:rsidRPr="0081445B">
                                  <w:rPr>
                                    <w:rStyle w:val="Hipervnculo"/>
                                    <w:rFonts w:ascii="Poppins" w:eastAsia="Times New Roman" w:hAnsi="Poppins"/>
                                    <w:color w:val="25C0E4"/>
                                    <w:sz w:val="21"/>
                                    <w:szCs w:val="21"/>
                                    <w:lang w:val="en-US"/>
                                  </w:rPr>
                                  <w:t>Singapore Maritime Week</w:t>
                                </w:r>
                              </w:hyperlink>
                              <w:r w:rsidRPr="0081445B">
                                <w:rPr>
                                  <w:rFonts w:ascii="Poppins" w:eastAsia="Times New Roman" w:hAnsi="Poppins"/>
                                  <w:color w:val="54544A"/>
                                  <w:sz w:val="21"/>
                                  <w:szCs w:val="21"/>
                                  <w:lang w:val="en-US"/>
                                </w:rPr>
                                <w:t xml:space="preserve"> will include the launch of MI’s Zero-Mission Shipping Mission’s strengthened 2030 goals and the unveiling of a new report on supplying zero-emission marine fuels in ports. Explore the </w:t>
                              </w:r>
                              <w:hyperlink r:id="rId33" w:tgtFrame="_blank" w:history="1">
                                <w:r w:rsidRPr="0081445B">
                                  <w:rPr>
                                    <w:rStyle w:val="Hipervnculo"/>
                                    <w:rFonts w:ascii="Poppins" w:eastAsia="Times New Roman" w:hAnsi="Poppins"/>
                                    <w:color w:val="25C0E4"/>
                                    <w:sz w:val="21"/>
                                    <w:szCs w:val="21"/>
                                    <w:lang w:val="en-US"/>
                                  </w:rPr>
                                  <w:t>event program</w:t>
                                </w:r>
                              </w:hyperlink>
                              <w:r w:rsidRPr="0081445B">
                                <w:rPr>
                                  <w:rFonts w:ascii="Poppins" w:eastAsia="Times New Roman" w:hAnsi="Poppins"/>
                                  <w:color w:val="54544A"/>
                                  <w:sz w:val="21"/>
                                  <w:szCs w:val="21"/>
                                  <w:lang w:val="en-US"/>
                                </w:rPr>
                                <w:t xml:space="preserve"> for more details, and </w:t>
                              </w:r>
                              <w:hyperlink r:id="rId34" w:tgtFrame="_blank" w:history="1">
                                <w:r w:rsidRPr="0081445B">
                                  <w:rPr>
                                    <w:rStyle w:val="Hipervnculo"/>
                                    <w:rFonts w:ascii="Poppins" w:eastAsia="Times New Roman" w:hAnsi="Poppins"/>
                                    <w:color w:val="25C0E4"/>
                                    <w:sz w:val="21"/>
                                    <w:szCs w:val="21"/>
                                    <w:lang w:val="en-US"/>
                                  </w:rPr>
                                  <w:t>register here</w:t>
                                </w:r>
                              </w:hyperlink>
                              <w:r w:rsidRPr="0081445B">
                                <w:rPr>
                                  <w:rFonts w:ascii="Poppins" w:eastAsia="Times New Roman" w:hAnsi="Poppins"/>
                                  <w:color w:val="54544A"/>
                                  <w:sz w:val="21"/>
                                  <w:szCs w:val="21"/>
                                  <w:lang w:val="en-US"/>
                                </w:rPr>
                                <w:t>.</w:t>
                              </w:r>
                            </w:p>
                            <w:p w:rsidR="0081445B" w:rsidRPr="0081445B" w:rsidRDefault="0081445B" w:rsidP="0081445B">
                              <w:pPr>
                                <w:numPr>
                                  <w:ilvl w:val="0"/>
                                  <w:numId w:val="2"/>
                                </w:numPr>
                                <w:spacing w:before="100" w:beforeAutospacing="1" w:after="100" w:afterAutospacing="1" w:line="300" w:lineRule="exact"/>
                                <w:jc w:val="both"/>
                                <w:rPr>
                                  <w:rFonts w:ascii="Verdana" w:eastAsia="Times New Roman" w:hAnsi="Verdana"/>
                                  <w:color w:val="000000"/>
                                  <w:sz w:val="21"/>
                                  <w:szCs w:val="21"/>
                                  <w:lang w:val="en-US"/>
                                </w:rPr>
                              </w:pPr>
                              <w:r w:rsidRPr="0081445B">
                                <w:rPr>
                                  <w:rFonts w:ascii="Poppins" w:eastAsia="Times New Roman" w:hAnsi="Poppins"/>
                                  <w:b/>
                                  <w:bCs/>
                                  <w:color w:val="54544A"/>
                                  <w:sz w:val="21"/>
                                  <w:szCs w:val="21"/>
                                  <w:lang w:val="en-US"/>
                                </w:rPr>
                                <w:t>Future Cleantech Festival | 28 – 29 May, 2024 –</w:t>
                              </w:r>
                              <w:r w:rsidRPr="0081445B">
                                <w:rPr>
                                  <w:rFonts w:ascii="Poppins" w:eastAsia="Times New Roman" w:hAnsi="Poppins"/>
                                  <w:color w:val="54544A"/>
                                  <w:sz w:val="21"/>
                                  <w:szCs w:val="21"/>
                                  <w:lang w:val="en-US"/>
                                </w:rPr>
                                <w:t xml:space="preserve"> This year’s </w:t>
                              </w:r>
                              <w:hyperlink r:id="rId35" w:tgtFrame="_blank" w:history="1">
                                <w:r w:rsidRPr="0081445B">
                                  <w:rPr>
                                    <w:rStyle w:val="Hipervnculo"/>
                                    <w:rFonts w:ascii="Poppins" w:eastAsia="Times New Roman" w:hAnsi="Poppins"/>
                                    <w:color w:val="25C0E4"/>
                                    <w:sz w:val="21"/>
                                    <w:szCs w:val="21"/>
                                    <w:lang w:val="en-US"/>
                                  </w:rPr>
                                  <w:t>Future Cleantech Festival</w:t>
                                </w:r>
                              </w:hyperlink>
                              <w:r w:rsidRPr="0081445B">
                                <w:rPr>
                                  <w:rFonts w:ascii="Poppins" w:eastAsia="Times New Roman" w:hAnsi="Poppins"/>
                                  <w:color w:val="54544A"/>
                                  <w:sz w:val="21"/>
                                  <w:szCs w:val="21"/>
                                  <w:lang w:val="en-US"/>
                                </w:rPr>
                                <w:t>, in Remscheid, Germany, will focus on structural innovation in various thematic chapters, including Transport (aviation and shipping), Construction, Innovation, and the Future Energy System.</w:t>
                              </w:r>
                            </w:p>
                            <w:p w:rsidR="0081445B" w:rsidRPr="0081445B" w:rsidRDefault="0081445B" w:rsidP="0081445B">
                              <w:pPr>
                                <w:numPr>
                                  <w:ilvl w:val="0"/>
                                  <w:numId w:val="2"/>
                                </w:numPr>
                                <w:spacing w:before="100" w:beforeAutospacing="1" w:after="100" w:afterAutospacing="1" w:line="300" w:lineRule="exact"/>
                                <w:jc w:val="both"/>
                                <w:rPr>
                                  <w:rFonts w:ascii="Verdana" w:eastAsia="Times New Roman" w:hAnsi="Verdana"/>
                                  <w:color w:val="000000"/>
                                  <w:sz w:val="21"/>
                                  <w:szCs w:val="21"/>
                                  <w:lang w:val="en-US"/>
                                </w:rPr>
                              </w:pPr>
                              <w:r w:rsidRPr="0081445B">
                                <w:rPr>
                                  <w:rFonts w:ascii="Poppins" w:eastAsia="Times New Roman" w:hAnsi="Poppins"/>
                                  <w:b/>
                                  <w:bCs/>
                                  <w:color w:val="54544A"/>
                                  <w:sz w:val="21"/>
                                  <w:szCs w:val="21"/>
                                  <w:lang w:val="en-US"/>
                                </w:rPr>
                                <w:t xml:space="preserve">London Climate Action Week | 22 – 30 June, 2024 – </w:t>
                              </w:r>
                              <w:hyperlink r:id="rId36" w:tgtFrame="_blank" w:history="1">
                                <w:r w:rsidRPr="0081445B">
                                  <w:rPr>
                                    <w:rStyle w:val="Hipervnculo"/>
                                    <w:rFonts w:ascii="Poppins" w:eastAsia="Times New Roman" w:hAnsi="Poppins"/>
                                    <w:color w:val="25C0E4"/>
                                    <w:sz w:val="21"/>
                                    <w:szCs w:val="21"/>
                                    <w:lang w:val="en-US"/>
                                  </w:rPr>
                                  <w:t>London Climate Action Week</w:t>
                                </w:r>
                              </w:hyperlink>
                              <w:r w:rsidRPr="0081445B">
                                <w:rPr>
                                  <w:rFonts w:ascii="Poppins" w:eastAsia="Times New Roman" w:hAnsi="Poppins"/>
                                  <w:color w:val="54544A"/>
                                  <w:sz w:val="21"/>
                                  <w:szCs w:val="21"/>
                                  <w:lang w:val="en-US"/>
                                </w:rPr>
                                <w:t xml:space="preserve"> is an annual festival of climate action that aims to </w:t>
                              </w:r>
                              <w:proofErr w:type="spellStart"/>
                              <w:r w:rsidRPr="0081445B">
                                <w:rPr>
                                  <w:rFonts w:ascii="Poppins" w:eastAsia="Times New Roman" w:hAnsi="Poppins"/>
                                  <w:color w:val="54544A"/>
                                  <w:sz w:val="21"/>
                                  <w:szCs w:val="21"/>
                                  <w:lang w:val="en-US"/>
                                </w:rPr>
                                <w:t>mobilise</w:t>
                              </w:r>
                              <w:proofErr w:type="spellEnd"/>
                              <w:r w:rsidRPr="0081445B">
                                <w:rPr>
                                  <w:rFonts w:ascii="Poppins" w:eastAsia="Times New Roman" w:hAnsi="Poppins"/>
                                  <w:color w:val="54544A"/>
                                  <w:sz w:val="21"/>
                                  <w:szCs w:val="21"/>
                                  <w:lang w:val="en-US"/>
                                </w:rPr>
                                <w:t xml:space="preserve"> whole-of-society climate action </w:t>
                              </w:r>
                              <w:r w:rsidRPr="0081445B">
                                <w:rPr>
                                  <w:rFonts w:ascii="Poppins" w:eastAsia="Times New Roman" w:hAnsi="Poppins"/>
                                  <w:color w:val="54544A"/>
                                  <w:sz w:val="21"/>
                                  <w:szCs w:val="21"/>
                                  <w:lang w:val="en-US"/>
                                </w:rPr>
                                <w:lastRenderedPageBreak/>
                                <w:t>through innovative coalitions and city-wide engagement.</w:t>
                              </w:r>
                            </w:p>
                            <w:p w:rsidR="0081445B" w:rsidRPr="0081445B" w:rsidRDefault="0081445B" w:rsidP="0081445B">
                              <w:pPr>
                                <w:numPr>
                                  <w:ilvl w:val="0"/>
                                  <w:numId w:val="2"/>
                                </w:numPr>
                                <w:spacing w:before="100" w:beforeAutospacing="1" w:after="100" w:afterAutospacing="1" w:line="300" w:lineRule="exact"/>
                                <w:jc w:val="both"/>
                                <w:rPr>
                                  <w:rFonts w:ascii="Verdana" w:eastAsia="Times New Roman" w:hAnsi="Verdana"/>
                                  <w:color w:val="000000"/>
                                  <w:sz w:val="21"/>
                                  <w:szCs w:val="21"/>
                                  <w:lang w:val="en-US"/>
                                </w:rPr>
                              </w:pPr>
                              <w:r w:rsidRPr="0081445B">
                                <w:rPr>
                                  <w:rFonts w:ascii="Poppins" w:eastAsia="Times New Roman" w:hAnsi="Poppins"/>
                                  <w:b/>
                                  <w:bCs/>
                                  <w:color w:val="54544A"/>
                                  <w:sz w:val="21"/>
                                  <w:szCs w:val="21"/>
                                  <w:lang w:val="en-US"/>
                                </w:rPr>
                                <w:t xml:space="preserve">International Energy Workshop | 26 June, 2024 – </w:t>
                              </w:r>
                              <w:r w:rsidRPr="0081445B">
                                <w:rPr>
                                  <w:rFonts w:ascii="Poppins" w:eastAsia="Times New Roman" w:hAnsi="Poppins"/>
                                  <w:color w:val="54544A"/>
                                  <w:sz w:val="21"/>
                                  <w:szCs w:val="21"/>
                                  <w:lang w:val="en-US"/>
                                </w:rPr>
                                <w:t xml:space="preserve">The 42nd edition of the </w:t>
                              </w:r>
                              <w:hyperlink r:id="rId37" w:tgtFrame="_blank" w:history="1">
                                <w:r w:rsidRPr="0081445B">
                                  <w:rPr>
                                    <w:rStyle w:val="Hipervnculo"/>
                                    <w:rFonts w:ascii="Poppins" w:eastAsia="Times New Roman" w:hAnsi="Poppins"/>
                                    <w:color w:val="25C0E4"/>
                                    <w:sz w:val="21"/>
                                    <w:szCs w:val="21"/>
                                    <w:lang w:val="en-US"/>
                                  </w:rPr>
                                  <w:t>International Energy Workshop</w:t>
                                </w:r>
                              </w:hyperlink>
                              <w:r w:rsidRPr="0081445B">
                                <w:rPr>
                                  <w:rFonts w:ascii="Poppins" w:eastAsia="Times New Roman" w:hAnsi="Poppins"/>
                                  <w:color w:val="54544A"/>
                                  <w:sz w:val="21"/>
                                  <w:szCs w:val="21"/>
                                  <w:lang w:val="en-US"/>
                                </w:rPr>
                                <w:t xml:space="preserve"> will be hosted by the International Renewable Energy Agency in Bonn, Germany, on 26-28 June, 2024.</w:t>
                              </w:r>
                            </w:p>
                            <w:p w:rsidR="0081445B" w:rsidRPr="0081445B" w:rsidRDefault="0081445B" w:rsidP="0081445B">
                              <w:pPr>
                                <w:numPr>
                                  <w:ilvl w:val="0"/>
                                  <w:numId w:val="2"/>
                                </w:numPr>
                                <w:spacing w:before="100" w:beforeAutospacing="1" w:after="100" w:afterAutospacing="1" w:line="300" w:lineRule="exact"/>
                                <w:jc w:val="both"/>
                                <w:rPr>
                                  <w:rFonts w:ascii="Verdana" w:eastAsia="Times New Roman" w:hAnsi="Verdana"/>
                                  <w:color w:val="000000"/>
                                  <w:sz w:val="21"/>
                                  <w:szCs w:val="21"/>
                                  <w:lang w:val="en-US"/>
                                </w:rPr>
                              </w:pPr>
                              <w:r w:rsidRPr="0081445B">
                                <w:rPr>
                                  <w:rFonts w:ascii="Poppins" w:eastAsia="Times New Roman" w:hAnsi="Poppins"/>
                                  <w:b/>
                                  <w:bCs/>
                                  <w:color w:val="54544A"/>
                                  <w:sz w:val="21"/>
                                  <w:szCs w:val="21"/>
                                  <w:lang w:val="en-US"/>
                                </w:rPr>
                                <w:t>Climate Innovation Forum | 27 June, 2024 –</w:t>
                              </w:r>
                              <w:r w:rsidRPr="0081445B">
                                <w:rPr>
                                  <w:rFonts w:ascii="Poppins" w:eastAsia="Times New Roman" w:hAnsi="Poppins"/>
                                  <w:color w:val="54544A"/>
                                  <w:sz w:val="21"/>
                                  <w:szCs w:val="21"/>
                                  <w:lang w:val="en-US"/>
                                </w:rPr>
                                <w:t xml:space="preserve"> The </w:t>
                              </w:r>
                              <w:hyperlink r:id="rId38" w:tgtFrame="_blank" w:history="1">
                                <w:r w:rsidRPr="0081445B">
                                  <w:rPr>
                                    <w:rStyle w:val="Hipervnculo"/>
                                    <w:rFonts w:ascii="Poppins" w:eastAsia="Times New Roman" w:hAnsi="Poppins"/>
                                    <w:color w:val="25C0E4"/>
                                    <w:sz w:val="21"/>
                                    <w:szCs w:val="21"/>
                                    <w:lang w:val="en-US"/>
                                  </w:rPr>
                                  <w:t>Climate Innovation Forum</w:t>
                                </w:r>
                              </w:hyperlink>
                              <w:r w:rsidRPr="0081445B">
                                <w:rPr>
                                  <w:rFonts w:ascii="Poppins" w:eastAsia="Times New Roman" w:hAnsi="Poppins"/>
                                  <w:color w:val="54544A"/>
                                  <w:sz w:val="21"/>
                                  <w:szCs w:val="21"/>
                                  <w:lang w:val="en-US"/>
                                </w:rPr>
                                <w:t xml:space="preserve"> returns for the sixth year as a flagship event of London Climate Action Week. </w:t>
                              </w:r>
                              <w:proofErr w:type="spellStart"/>
                              <w:r w:rsidRPr="0081445B">
                                <w:rPr>
                                  <w:rFonts w:ascii="Poppins" w:eastAsia="Times New Roman" w:hAnsi="Poppins"/>
                                  <w:color w:val="54544A"/>
                                  <w:sz w:val="21"/>
                                  <w:szCs w:val="21"/>
                                  <w:lang w:val="en-US"/>
                                </w:rPr>
                                <w:t>Organised</w:t>
                              </w:r>
                              <w:proofErr w:type="spellEnd"/>
                              <w:r w:rsidRPr="0081445B">
                                <w:rPr>
                                  <w:rFonts w:ascii="Poppins" w:eastAsia="Times New Roman" w:hAnsi="Poppins"/>
                                  <w:color w:val="54544A"/>
                                  <w:sz w:val="21"/>
                                  <w:szCs w:val="21"/>
                                  <w:lang w:val="en-US"/>
                                </w:rPr>
                                <w:t xml:space="preserve"> by Climate Action in collaboration with DESNZ and the City of London Corporation, the Forum will focus on translating promises into tangible actions midway between COPs, harnessing the power of London as a leading global climate hub.</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Default="0081445B" w:rsidP="0081445B">
      <w:pPr>
        <w:shd w:val="clear" w:color="auto" w:fill="FFFFFF"/>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81445B" w:rsidTr="0081445B">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1445B">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trPr>
                                  <w:jc w:val="center"/>
                                </w:trPr>
                                <w:tc>
                                  <w:tcPr>
                                    <w:tcW w:w="9000" w:type="dxa"/>
                                    <w:vAlign w:val="center"/>
                                    <w:hideMark/>
                                  </w:tcPr>
                                  <w:p w:rsidR="0081445B" w:rsidRDefault="0081445B">
                                    <w:pPr>
                                      <w:rPr>
                                        <w:rFonts w:eastAsia="Times New Roman"/>
                                      </w:rPr>
                                    </w:pPr>
                                    <w:r>
                                      <w:rPr>
                                        <w:rFonts w:eastAsia="Times New Roman"/>
                                        <w:noProof/>
                                      </w:rPr>
                                      <w:drawing>
                                        <wp:inline distT="0" distB="0" distL="0" distR="0">
                                          <wp:extent cx="5715000" cy="962025"/>
                                          <wp:effectExtent l="0" t="0" r="0" b="9525"/>
                                          <wp:docPr id="1" name="Imagen 1" descr="https://0sgqq.mjt.lu/tplimg/0sgqq/b/1m870/x89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0sgqq.mjt.lu/tplimg/0sgqq/b/1m870/x89t.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962025"/>
                                                  </a:xfrm>
                                                  <a:prstGeom prst="rect">
                                                    <a:avLst/>
                                                  </a:prstGeom>
                                                  <a:noFill/>
                                                  <a:ln>
                                                    <a:noFill/>
                                                  </a:ln>
                                                </pic:spPr>
                                              </pic:pic>
                                            </a:graphicData>
                                          </a:graphic>
                                        </wp:inline>
                                      </w:drawing>
                                    </w:r>
                                  </w:p>
                                </w:tc>
                              </w:tr>
                            </w:tbl>
                            <w:p w:rsidR="0081445B" w:rsidRDefault="0081445B">
                              <w:pPr>
                                <w:jc w:val="center"/>
                                <w:rPr>
                                  <w:rFonts w:eastAsia="Times New Roman"/>
                                  <w:sz w:val="20"/>
                                  <w:szCs w:val="20"/>
                                </w:rPr>
                              </w:pPr>
                            </w:p>
                          </w:tc>
                        </w:tr>
                      </w:tbl>
                      <w:p w:rsidR="0081445B" w:rsidRDefault="0081445B">
                        <w:pPr>
                          <w:rPr>
                            <w:rFonts w:eastAsia="Times New Roman"/>
                            <w:sz w:val="20"/>
                            <w:szCs w:val="20"/>
                          </w:rPr>
                        </w:pPr>
                      </w:p>
                    </w:tc>
                  </w:tr>
                </w:tbl>
                <w:p w:rsidR="0081445B" w:rsidRDefault="0081445B">
                  <w:pPr>
                    <w:jc w:val="center"/>
                    <w:rPr>
                      <w:rFonts w:eastAsia="Times New Roman"/>
                      <w:sz w:val="20"/>
                      <w:szCs w:val="20"/>
                    </w:rPr>
                  </w:pPr>
                </w:p>
              </w:tc>
            </w:tr>
          </w:tbl>
          <w:p w:rsidR="0081445B" w:rsidRDefault="0081445B">
            <w:pPr>
              <w:jc w:val="center"/>
              <w:rPr>
                <w:rFonts w:eastAsia="Times New Roman"/>
                <w:sz w:val="20"/>
                <w:szCs w:val="20"/>
              </w:rPr>
            </w:pPr>
          </w:p>
        </w:tc>
      </w:tr>
    </w:tbl>
    <w:p w:rsidR="0081445B" w:rsidRDefault="0081445B" w:rsidP="0081445B">
      <w:pPr>
        <w:shd w:val="clear" w:color="auto" w:fill="FFFFFF"/>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81445B" w:rsidRPr="0081445B" w:rsidTr="0081445B">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0" w:type="auto"/>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81445B" w:rsidRPr="0081445B">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1445B" w:rsidRPr="0081445B">
                          <w:tc>
                            <w:tcPr>
                              <w:tcW w:w="0" w:type="auto"/>
                              <w:vAlign w:val="center"/>
                              <w:hideMark/>
                            </w:tcPr>
                            <w:p w:rsidR="0081445B" w:rsidRPr="0081445B" w:rsidRDefault="0081445B">
                              <w:pPr>
                                <w:pStyle w:val="text-build-content"/>
                                <w:spacing w:before="150" w:after="150"/>
                                <w:jc w:val="both"/>
                                <w:rPr>
                                  <w:rFonts w:ascii="Arial" w:hAnsi="Arial" w:cs="Arial"/>
                                  <w:color w:val="000000"/>
                                  <w:sz w:val="20"/>
                                  <w:szCs w:val="20"/>
                                  <w:lang w:val="en-US"/>
                                </w:rPr>
                              </w:pPr>
                              <w:hyperlink r:id="rId40" w:tgtFrame="_blank" w:history="1">
                                <w:r w:rsidRPr="0081445B">
                                  <w:rPr>
                                    <w:rStyle w:val="Hipervnculo"/>
                                    <w:rFonts w:ascii="Poppins" w:hAnsi="Poppins" w:cs="Arial"/>
                                    <w:color w:val="8B94A7"/>
                                    <w:sz w:val="21"/>
                                    <w:szCs w:val="21"/>
                                    <w:lang w:val="en-US"/>
                                  </w:rPr>
                                  <w:t>Mission Innovation</w:t>
                                </w:r>
                              </w:hyperlink>
                              <w:r w:rsidRPr="0081445B">
                                <w:rPr>
                                  <w:rFonts w:ascii="Poppins" w:hAnsi="Poppins" w:cs="Arial"/>
                                  <w:color w:val="8B94A7"/>
                                  <w:sz w:val="21"/>
                                  <w:szCs w:val="21"/>
                                  <w:lang w:val="en-US"/>
                                </w:rPr>
                                <w:t xml:space="preserve"> is a global initiative </w:t>
                              </w:r>
                              <w:proofErr w:type="spellStart"/>
                              <w:r w:rsidRPr="0081445B">
                                <w:rPr>
                                  <w:rFonts w:ascii="Poppins" w:hAnsi="Poppins" w:cs="Arial"/>
                                  <w:color w:val="8B94A7"/>
                                  <w:sz w:val="21"/>
                                  <w:szCs w:val="21"/>
                                  <w:lang w:val="en-US"/>
                                </w:rPr>
                                <w:t>catalysing</w:t>
                              </w:r>
                              <w:proofErr w:type="spellEnd"/>
                              <w:r w:rsidRPr="0081445B">
                                <w:rPr>
                                  <w:rFonts w:ascii="Poppins" w:hAnsi="Poppins" w:cs="Arial"/>
                                  <w:color w:val="8B94A7"/>
                                  <w:sz w:val="21"/>
                                  <w:szCs w:val="21"/>
                                  <w:lang w:val="en-US"/>
                                </w:rPr>
                                <w:t xml:space="preserve"> a decade of action and investment in research, development and demonstration to make clean energy affordable, attractive and accessible for all. This will accelerate progress towards the Paris Agreement goals and pathways to net zero.</w:t>
                              </w:r>
                            </w:p>
                          </w:tc>
                        </w:tr>
                      </w:tbl>
                      <w:p w:rsidR="0081445B" w:rsidRPr="0081445B" w:rsidRDefault="0081445B">
                        <w:pP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1445B" w:rsidRPr="0081445B" w:rsidRDefault="0081445B">
            <w:pPr>
              <w:jc w:val="center"/>
              <w:rPr>
                <w:rFonts w:eastAsia="Times New Roman"/>
                <w:sz w:val="20"/>
                <w:szCs w:val="20"/>
                <w:lang w:val="en-US"/>
              </w:rPr>
            </w:pPr>
          </w:p>
        </w:tc>
      </w:tr>
    </w:tbl>
    <w:p w:rsidR="0085792C" w:rsidRPr="0081445B" w:rsidRDefault="0085792C">
      <w:pPr>
        <w:rPr>
          <w:lang w:val="en-US"/>
        </w:rPr>
      </w:pPr>
      <w:bookmarkStart w:id="0" w:name="_GoBack"/>
      <w:bookmarkEnd w:id="0"/>
    </w:p>
    <w:sectPr w:rsidR="0085792C" w:rsidRPr="008144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D2274"/>
    <w:multiLevelType w:val="multilevel"/>
    <w:tmpl w:val="F5404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2C00D0A"/>
    <w:multiLevelType w:val="hybridMultilevel"/>
    <w:tmpl w:val="6DA4B1D4"/>
    <w:lvl w:ilvl="0" w:tplc="9A788978">
      <w:start w:val="1"/>
      <w:numFmt w:val="decimal"/>
      <w:pStyle w:val="Prrafodelis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6C"/>
    <w:rsid w:val="00182D31"/>
    <w:rsid w:val="001E76F9"/>
    <w:rsid w:val="0027066C"/>
    <w:rsid w:val="004F2B60"/>
    <w:rsid w:val="0081445B"/>
    <w:rsid w:val="0085792C"/>
    <w:rsid w:val="00C0467B"/>
    <w:rsid w:val="00E207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45B"/>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81445B"/>
    <w:rPr>
      <w:color w:val="0000FF"/>
      <w:u w:val="single"/>
    </w:rPr>
  </w:style>
  <w:style w:type="paragraph" w:customStyle="1" w:styleId="text-build-content">
    <w:name w:val="text-build-content"/>
    <w:basedOn w:val="Normal"/>
    <w:rsid w:val="0081445B"/>
    <w:pPr>
      <w:spacing w:before="195" w:after="195"/>
    </w:pPr>
  </w:style>
  <w:style w:type="paragraph" w:styleId="Textodeglobo">
    <w:name w:val="Balloon Text"/>
    <w:basedOn w:val="Normal"/>
    <w:link w:val="TextodegloboCar"/>
    <w:uiPriority w:val="99"/>
    <w:semiHidden/>
    <w:unhideWhenUsed/>
    <w:rsid w:val="0081445B"/>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45B"/>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45B"/>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81445B"/>
    <w:rPr>
      <w:color w:val="0000FF"/>
      <w:u w:val="single"/>
    </w:rPr>
  </w:style>
  <w:style w:type="paragraph" w:customStyle="1" w:styleId="text-build-content">
    <w:name w:val="text-build-content"/>
    <w:basedOn w:val="Normal"/>
    <w:rsid w:val="0081445B"/>
    <w:pPr>
      <w:spacing w:before="195" w:after="195"/>
    </w:pPr>
  </w:style>
  <w:style w:type="paragraph" w:styleId="Textodeglobo">
    <w:name w:val="Balloon Text"/>
    <w:basedOn w:val="Normal"/>
    <w:link w:val="TextodegloboCar"/>
    <w:uiPriority w:val="99"/>
    <w:semiHidden/>
    <w:unhideWhenUsed/>
    <w:rsid w:val="0081445B"/>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45B"/>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ldefense.com/v3/__http:/0sgqq.mjt.lu/lnk/AW0AAD5uFwQAAAAAlpAAAA52PFgAAAAAFXAAACIjABozNABmFCFROU_L7wOXQfWS_Sb6WpOePAAZSWc/4/Cv_zdHvi_ypsGJoZl2IXtQ/aHR0cHM6Ly93d3cueW91dHViZS5jb20vY2hhbm5lbC9VQ1NqdkVoUUlpV0M5TVd6UU9FcGFkbVE__;!!D9dNQwwGXtA!WspGDcwaGr599MqcdjnJ8fdnLUzeK5Z-cYGgxSWRttA5Kl75C8Kjt0tX8yLI-znYLYdNMQ5Lq5m9R1-Bdle4zipFbOzopA$" TargetMode="External"/><Relationship Id="rId18" Type="http://schemas.openxmlformats.org/officeDocument/2006/relationships/hyperlink" Target="https://urldefense.com/v3/__http:/0sgqq.mjt.lu/lnk/AW0AAD5uFwQAAAAAlpAAAA52PFgAAAAAFXAAACIjABozNABmFCFROU_L7wOXQfWS_Sb6WpOePAAZSWc/8/d4up4gz45U-LkMjU7oNnZg/aHR0cHM6Ly91cmJhbnRyYW5zaXRpb25zbWlzc2lvbi5vcmcvd3AtY29udGVudC91cGxvYWRzLzIwMjMvMTIvVVRNLUdvb2dsZS1HdWlkZV9GSU5BTC5wZGY__;!!D9dNQwwGXtA!WspGDcwaGr599MqcdjnJ8fdnLUzeK5Z-cYGgxSWRttA5Kl75C8Kjt0tX8yLI-znYLYdNMQ5Lq5m9R1-Bdle4zioHs1XfQg$" TargetMode="External"/><Relationship Id="rId26" Type="http://schemas.openxmlformats.org/officeDocument/2006/relationships/hyperlink" Target="https://urldefense.com/v3/__http:/0sgqq.mjt.lu/lnk/AW0AAD5uFwQAAAAAlpAAAA52PFgAAAAAFXAAACIjABozNABmFCFROU_L7wOXQfWS_Sb6WpOePAAZSWc/15/0QU6p9pTZZ6Gno9NlUbz-Q/aHR0cHM6Ly91cmJhbnRyYW5zaXRpb25zbWlzc2lvbi5vcmcvdXRtLXRlYW1zLXVwLXdpdGgtaXJlbmEtdG8tZGVsaXZlci05LXRyYWluaW5ncy1vbi1yZW5ld2FibGUtZW5lcmd5LXRlY2hub2xvZ2llcy1mb3ItY2l0aWVzLw__;!!D9dNQwwGXtA!WspGDcwaGr599MqcdjnJ8fdnLUzeK5Z-cYGgxSWRttA5Kl75C8Kjt0tX8yLI-znYLYdNMQ5Lq5m9R1-Bdle4zipHS4Pgvg$" TargetMode="External"/><Relationship Id="rId39"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https://urldefense.com/v3/__http:/0sgqq.mjt.lu/lnk/AW0AAD5uFwQAAAAAlpAAAA52PFgAAAAAFXAAACIjABozNABmFCFROU_L7wOXQfWS_Sb6WpOePAAZSWc/11/FBKZLQhgQjt9nXDBybiL-A/aHR0cHM6Ly91cmJhbnRyYW5zaXRpb25zbWlzc2lvbi5vcmcvdXJiYW4tdHJhbnNpdGlvbnMtbWlzc2lvbi1nb29nbGVzLWVudmlyb25tZW50YWwtaW5zaWdodHMtZXhwbG9yZXItbGF1bmNoLWd1aWRlLXRvLWhlbHAtY2l0aWVzLXVzZS1kYXRhLWFuZC1pbnNpZ2h0cy1mb3ItZXZpZGVuY2UtYmFzZWQtdXJiYW4tbW9iaWxpdHktcGxhbm5pbmcv__;!!D9dNQwwGXtA!WspGDcwaGr599MqcdjnJ8fdnLUzeK5Z-cYGgxSWRttA5Kl75C8Kjt0tX8yLI-znYLYdNMQ5Lq5m9R1-Bdle4zirvt4qnEg$" TargetMode="External"/><Relationship Id="rId34" Type="http://schemas.openxmlformats.org/officeDocument/2006/relationships/hyperlink" Target="https://urldefense.com/v3/__http:/0sgqq.mjt.lu/lnk/AW0AAD5uFwQAAAAAlpAAAA52PFgAAAAAFXAAACIjABozNABmFCFROU_L7wOXQfWS_Sb6WpOePAAZSWc/22/xaLAGFmZCiDmkLn-_-Y62A/aHR0cHM6Ly9mb3Jtcy5vZmZpY2UuY29tL3BhZ2VzL3Jlc3BvbnNlcGFnZS5hc3B4P2lkPWdqaXhxYWFaS0V1VGFMWk1hYjhDVm5OV1hWeTBvbTFGcG1VMGw5SFk5czFVUVUxR1JsVktWRk5DTTFSTFdqZzJNMWxLUkVoUVZETkxTQ1FsUUNOMFBXY3U__;!!D9dNQwwGXtA!WspGDcwaGr599MqcdjnJ8fdnLUzeK5Z-cYGgxSWRttA5Kl75C8Kjt0tX8yLI-znYLYdNMQ5Lq5m9R1-Bdle4zioAMMb0nA$" TargetMode="External"/><Relationship Id="rId42" Type="http://schemas.openxmlformats.org/officeDocument/2006/relationships/theme" Target="theme/theme1.xml"/><Relationship Id="rId7" Type="http://schemas.openxmlformats.org/officeDocument/2006/relationships/hyperlink" Target="https://urldefense.com/v3/__http:/0sgqq.mjt.lu/lnk/AW0AAD5uFwQAAAAAlpAAAA52PFgAAAAAFXAAACIjABozNABmFCFROU_L7wOXQfWS_Sb6WpOePAAZSWc/1/a3KtWEjVB7Oi7c7Sltk3Sw/aHR0cDovL21pc3Npb24taW5ub3ZhdGlvbi5uZXQv__;!!D9dNQwwGXtA!WspGDcwaGr599MqcdjnJ8fdnLUzeK5Z-cYGgxSWRttA5Kl75C8Kjt0tX8yLI-znYLYdNMQ5Lq5m9R1-Bdle4zioyZfrppA$" TargetMode="External"/><Relationship Id="rId12" Type="http://schemas.openxmlformats.org/officeDocument/2006/relationships/image" Target="media/image3.png"/><Relationship Id="rId17" Type="http://schemas.openxmlformats.org/officeDocument/2006/relationships/hyperlink" Target="https://urldefense.com/v3/__http:/0sgqq.mjt.lu/lnk/AW0AAD5uFwQAAAAAlpAAAA52PFgAAAAAFXAAACIjABozNABmFCFROU_L7wOXQfWS_Sb6WpOePAAZSWc/7/q9r9eRd5swyBh9wnqmFhjg/aHR0cHM6Ly93d3cueW91dHViZS5jb20vd2F0Y2g_dj1UQkhNNl9jUXZ0TQ__;!!D9dNQwwGXtA!WspGDcwaGr599MqcdjnJ8fdnLUzeK5Z-cYGgxSWRttA5Kl75C8Kjt0tX8yLI-znYLYdNMQ5Lq5m9R1-Bdle4zirMt7TxfQ$" TargetMode="External"/><Relationship Id="rId25" Type="http://schemas.openxmlformats.org/officeDocument/2006/relationships/image" Target="media/image7.png"/><Relationship Id="rId33" Type="http://schemas.openxmlformats.org/officeDocument/2006/relationships/hyperlink" Target="https://urldefense.com/v3/__http:/0sgqq.mjt.lu/lnk/AW0AAD5uFwQAAAAAlpAAAA52PFgAAAAAFXAAACIjABozNABmFCFROU_L7wOXQfWS_Sb6WpOePAAZSWc/21/NYaTr_bG3ZGr685U1Rsb6w/aHR0cHM6Ly9taXNzaW9uLWlubm92YXRpb24ubmV0L3dwLWNvbnRlbnQvdXBsb2Fkcy8yMDI0LzAzL0ludml0ZS1aZXJvLUVtaXNzaW9uLVNoaXBwaW5nLU1pc3Npb25fSG93LWludC1wdWJsaWMtcHJpdmF0ZS1jb2xsYWJvcmF0aW9uLWFjY2VsZXJhdGVzLXRoZS1ncmVlbi1tYXJpdGltZS10cmFuc2l0aW9uLTEucGRm__;!!D9dNQwwGXtA!WspGDcwaGr599MqcdjnJ8fdnLUzeK5Z-cYGgxSWRttA5Kl75C8Kjt0tX8yLI-znYLYdNMQ5Lq5m9R1-Bdle4zipuGZ7nYg$" TargetMode="External"/><Relationship Id="rId38" Type="http://schemas.openxmlformats.org/officeDocument/2006/relationships/hyperlink" Target="https://urldefense.com/v3/__http:/0sgqq.mjt.lu/lnk/AW0AAD5uFwQAAAAAlpAAAA52PFgAAAAAFXAAACIjABozNABmFCFROU_L7wOXQfWS_Sb6WpOePAAZSWc/26/8hyD1zuVAGAYYCDyI5nBGg/aHR0cHM6Ly9ldmVudHMuY2xpbWF0ZWFjdGlvbi5vcmcvY2xpbWF0ZS1pbm5vdmF0aW9uLWZvcnVtLw__;!!D9dNQwwGXtA!WspGDcwaGr599MqcdjnJ8fdnLUzeK5Z-cYGgxSWRttA5Kl75C8Kjt0tX8yLI-znYLYdNMQ5Lq5m9R1-Bdle4zirrukEVHA$" TargetMode="External"/><Relationship Id="rId2" Type="http://schemas.openxmlformats.org/officeDocument/2006/relationships/styles" Target="styles.xml"/><Relationship Id="rId16" Type="http://schemas.openxmlformats.org/officeDocument/2006/relationships/hyperlink" Target="https://urldefense.com/v3/__http:/0sgqq.mjt.lu/lnk/AW0AAD5uFwQAAAAAlpAAAA52PFgAAAAAFXAAACIjABozNABmFCFROU_L7wOXQfWS_Sb6WpOePAAZSWc/6/fdPfymE4Y0KgtXLWAbfe3g/aHR0cHM6Ly9taXNzaW9uLWlubm92YXRpb24ubmV0L3dwLWNvbnRlbnQvdXBsb2Fkcy8yMDI0LzAzL01JLVRoaW5rLVRhbmstUmVwb3J0LUNpcmN1bGFyLUNhcmJvbi1FY29ub215LnBkZg__;!!D9dNQwwGXtA!WspGDcwaGr599MqcdjnJ8fdnLUzeK5Z-cYGgxSWRttA5Kl75C8Kjt0tX8yLI-znYLYdNMQ5Lq5m9R1-Bdle4ziqN-MXXfQ$" TargetMode="External"/><Relationship Id="rId20" Type="http://schemas.openxmlformats.org/officeDocument/2006/relationships/hyperlink" Target="https://urldefense.com/v3/__http:/0sgqq.mjt.lu/lnk/AW0AAD5uFwQAAAAAlpAAAA52PFgAAAAAFXAAACIjABozNABmFCFROU_L7wOXQfWS_Sb6WpOePAAZSWc/10/LKUGHpcRFyUr8eRtTZcUjg/aHR0cHM6Ly91cmJhbnRyYW5zaXRpb25zbWlzc2lvbi5vcmcvd3AtY29udGVudC91cGxvYWRzLzIwMjMvMTIvVVRNLUdvb2dsZS1HdWlkZV9GSU5BTC5wZGY__;!!D9dNQwwGXtA!WspGDcwaGr599MqcdjnJ8fdnLUzeK5Z-cYGgxSWRttA5Kl75C8Kjt0tX8yLI-znYLYdNMQ5Lq5m9R1-Bdle4ziqqmTu1kg$" TargetMode="External"/><Relationship Id="rId29" Type="http://schemas.openxmlformats.org/officeDocument/2006/relationships/image" Target="media/image8.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rldefense.com/v3/__http:/0sgqq.mjt.lu/nl3/srurgBQ6-xyKafJPbL1pTw?m=AW0AAD5uFwQAAAAAlpAAAA52PFgAAAAAFXAAACIjABozNABmFCFROU_L7wOXQfWS_Sb6WpOePAAZSWc&amp;b=aa9c6ff4&amp;e=b3bc3e2c&amp;x=k2GOROJHao3kU-usb-cRiA__;!!D9dNQwwGXtA!WspGDcwaGr599MqcdjnJ8fdnLUzeK5Z-cYGgxSWRttA5Kl75C8Kjt0tX8yLI-znYLYdNMQ5Lq5m9R1-Bdle4zipcW74THQ$" TargetMode="External"/><Relationship Id="rId11" Type="http://schemas.openxmlformats.org/officeDocument/2006/relationships/hyperlink" Target="https://urldefense.com/v3/__http:/0sgqq.mjt.lu/lnk/AW0AAD5uFwQAAAAAlpAAAA52PFgAAAAAFXAAACIjABozNABmFCFROU_L7wOXQfWS_Sb6WpOePAAZSWc/3/4Z5wQE62ihgkRp0CCm_VoA/aHR0cHM6Ly90d2l0dGVyLmNvbS9NSUNsZWFuRW5lcmd5UkQ__;!!D9dNQwwGXtA!WspGDcwaGr599MqcdjnJ8fdnLUzeK5Z-cYGgxSWRttA5Kl75C8Kjt0tX8yLI-znYLYdNMQ5Lq5m9R1-Bdle4ziqGDn4u0A$" TargetMode="External"/><Relationship Id="rId24" Type="http://schemas.openxmlformats.org/officeDocument/2006/relationships/hyperlink" Target="https://urldefense.com/v3/__http:/0sgqq.mjt.lu/lnk/AW0AAD5uFwQAAAAAlpAAAA52PFgAAAAAFXAAACIjABozNABmFCFROU_L7wOXQfWS_Sb6WpOePAAZSWc/14/dKQ80YJeSLMGVVLh1ksCcg/aHR0cHM6Ly9pdWsua3RuLXVrLm9yZy9ldmVudHMvbWlzc2lvbi1pbm5vdmF0aW9uLWludGVncmF0ZWQtYmlvcmVmaW5lcmllcy1wcm9ncmFtbWUv__;!!D9dNQwwGXtA!WspGDcwaGr599MqcdjnJ8fdnLUzeK5Z-cYGgxSWRttA5Kl75C8Kjt0tX8yLI-znYLYdNMQ5Lq5m9R1-Bdle4zioxhxbBqg$" TargetMode="External"/><Relationship Id="rId32" Type="http://schemas.openxmlformats.org/officeDocument/2006/relationships/hyperlink" Target="https://urldefense.com/v3/__http:/0sgqq.mjt.lu/lnk/AW0AAD5uFwQAAAAAlpAAAA52PFgAAAAAFXAAACIjABozNABmFCFROU_L7wOXQfWS_Sb6WpOePAAZSWc/20/ne_8Ayg7o58KvlXNwRP7KQ/aHR0cHM6Ly93d3cuc213LnNnLw__;!!D9dNQwwGXtA!WspGDcwaGr599MqcdjnJ8fdnLUzeK5Z-cYGgxSWRttA5Kl75C8Kjt0tX8yLI-znYLYdNMQ5Lq5m9R1-Bdle4zioR7fXq6w$" TargetMode="External"/><Relationship Id="rId37" Type="http://schemas.openxmlformats.org/officeDocument/2006/relationships/hyperlink" Target="https://urldefense.com/v3/__http:/0sgqq.mjt.lu/lnk/AW0AAD5uFwQAAAAAlpAAAA52PFgAAAAAFXAAACIjABozNABmFCFROU_L7wOXQfWS_Sb6WpOePAAZSWc/25/HCW2_Jm_BqVpTNM5ZOCjdA/aHR0cHM6Ly93d3cuaXJlbmEub3JnL0V2ZW50cy8yMDI0L0p1bi9JbnRlcm5hdGlvbmFsLUVuZXJneS1Xb3Jrc2hvcC1JRVctMjAyNA__;!!D9dNQwwGXtA!WspGDcwaGr599MqcdjnJ8fdnLUzeK5Z-cYGgxSWRttA5Kl75C8Kjt0tX8yLI-znYLYdNMQ5Lq5m9R1-Bdle4zipxhqmSgA$" TargetMode="External"/><Relationship Id="rId40" Type="http://schemas.openxmlformats.org/officeDocument/2006/relationships/hyperlink" Target="https://urldefense.com/v3/__http:/0sgqq.mjt.lu/lnk/AW0AAD5uFwQAAAAAlpAAAA52PFgAAAAAFXAAACIjABozNABmFCFROU_L7wOXQfWS_Sb6WpOePAAZSWc/27/0803AzPEqSCrUzel1efRxg/aHR0cDovL21pc3Npb24taW5ub3ZhdGlvbi5uZXQv__;!!D9dNQwwGXtA!WspGDcwaGr599MqcdjnJ8fdnLUzeK5Z-cYGgxSWRttA5Kl75C8Kjt0tX8yLI-znYLYdNMQ5Lq5m9R1-Bdle4zipsat4zPQ$"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urldefense.com/v3/__http:/0sgqq.mjt.lu/lnk/AW0AAD5uFwQAAAAAlpAAAA52PFgAAAAAFXAAACIjABozNABmFCFROU_L7wOXQfWS_Sb6WpOePAAZSWc/13/BegjOWJcUKoitSf6MIY6sg/aHR0cHM6Ly9taXNzaW9uLWlubm92YXRpb24ubmV0L3dwLWNvbnRlbnQvdXBsb2Fkcy8yMDI0LzAzL01pc3Npb24tSW5ub3ZhdGlvbi1CaW9yZWZpbmVyaWVzLUFjdGlvbi0yLXJlcG9ydC1GSU5BTC1NYXJjaC0yMDI0LnBkZg__;!!D9dNQwwGXtA!WspGDcwaGr599MqcdjnJ8fdnLUzeK5Z-cYGgxSWRttA5Kl75C8Kjt0tX8yLI-znYLYdNMQ5Lq5m9R1-Bdle4zioEo0zHrg$" TargetMode="External"/><Relationship Id="rId28" Type="http://schemas.openxmlformats.org/officeDocument/2006/relationships/hyperlink" Target="https://urldefense.com/v3/__http:/0sgqq.mjt.lu/lnk/AW0AAD5uFwQAAAAAlpAAAA52PFgAAAAAFXAAACIjABozNABmFCFROU_L7wOXQfWS_Sb6WpOePAAZSWc/17/X_bWUHfI9p_NCEWOOHrrhg/aHR0cHM6Ly93d3cudXRtYy5hcHAvc2lnbmlu__;!!D9dNQwwGXtA!WspGDcwaGr599MqcdjnJ8fdnLUzeK5Z-cYGgxSWRttA5Kl75C8Kjt0tX8yLI-znYLYdNMQ5Lq5m9R1-Bdle4zipMmcXHMQ$" TargetMode="External"/><Relationship Id="rId36" Type="http://schemas.openxmlformats.org/officeDocument/2006/relationships/hyperlink" Target="https://urldefense.com/v3/__http:/0sgqq.mjt.lu/lnk/AW0AAD5uFwQAAAAAlpAAAA52PFgAAAAAFXAAACIjABozNABmFCFROU_L7wOXQfWS_Sb6WpOePAAZSWc/24/7jh9EA47BQIz-4B1NatiCg/aHR0cHM6Ly93d3cubG9uZG9uY2xpbWF0ZWFjdGlvbndlZWsub3JnLw__;!!D9dNQwwGXtA!WspGDcwaGr599MqcdjnJ8fdnLUzeK5Z-cYGgxSWRttA5Kl75C8Kjt0tX8yLI-znYLYdNMQ5Lq5m9R1-Bdle4zioF92CiFQ$"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urldefense.com/v3/__http:/0sgqq.mjt.lu/lnk/AW0AAD5uFwQAAAAAlpAAAA52PFgAAAAAFXAAACIjABozNABmFCFROU_L7wOXQfWS_Sb6WpOePAAZSWc/19/pihziqAa8IPp8nitBROxQA/aHR0cHM6Ly9taXNzaW9uLWlubm92YXRpb24ubmV0L3dwLWNvbnRlbnQvdXBsb2Fkcy8yMDI0LzA0LzIwMjRfMDJfTUlOWklfV2hpdGUtUGFwZXJfVGVjaG5vbG9neS1UcmFuc2Zlci5wZGY__;!!D9dNQwwGXtA!WspGDcwaGr599MqcdjnJ8fdnLUzeK5Z-cYGgxSWRttA5Kl75C8Kjt0tX8yLI-znYLYdNMQ5Lq5m9R1-Bdle4ziqyzqhxmQ$" TargetMode="External"/><Relationship Id="rId4" Type="http://schemas.openxmlformats.org/officeDocument/2006/relationships/settings" Target="settings.xml"/><Relationship Id="rId9" Type="http://schemas.openxmlformats.org/officeDocument/2006/relationships/hyperlink" Target="https://urldefense.com/v3/__http:/0sgqq.mjt.lu/lnk/AW0AAD5uFwQAAAAAlpAAAA52PFgAAAAAFXAAACIjABozNABmFCFROU_L7wOXQfWS_Sb6WpOePAAZSWc/2/xW4reQS19_jEcqfsL5ILig/aHR0cHM6Ly93d3cubGlua2VkaW4uY29tL2NvbXBhbnkvbWlzc2lvbi1pbm5vdmF0aW9uLz92aWV3QXNNZW1iZXI9dHJ1ZQ__;!!D9dNQwwGXtA!WspGDcwaGr599MqcdjnJ8fdnLUzeK5Z-cYGgxSWRttA5Kl75C8Kjt0tX8yLI-znYLYdNMQ5Lq5m9R1-Bdle4ziofuNqEnA$" TargetMode="External"/><Relationship Id="rId14" Type="http://schemas.openxmlformats.org/officeDocument/2006/relationships/image" Target="media/image4.png"/><Relationship Id="rId22" Type="http://schemas.openxmlformats.org/officeDocument/2006/relationships/hyperlink" Target="https://urldefense.com/v3/__http:/0sgqq.mjt.lu/lnk/AW0AAD5uFwQAAAAAlpAAAA52PFgAAAAAFXAAACIjABozNABmFCFROU_L7wOXQfWS_Sb6WpOePAAZSWc/12/_5EslRlijiKfd8mv3MGq2Q/aHR0cHM6Ly9leHBsb3JlLm1pc3Npb24taW5ub3ZhdGlvbi5uZXQvd3AtY29udGVudC91cGxvYWRzLzIwMjMvMTIvTmV0LVplcm8tSW5kdXN0cmllcy1Bd2FyZC1XaW5uZXJzLTIwMjMucGRm__;!!D9dNQwwGXtA!WspGDcwaGr599MqcdjnJ8fdnLUzeK5Z-cYGgxSWRttA5Kl75C8Kjt0tX8yLI-znYLYdNMQ5Lq5m9R1-Bdle4zipTw9fcGg$" TargetMode="External"/><Relationship Id="rId27" Type="http://schemas.openxmlformats.org/officeDocument/2006/relationships/hyperlink" Target="https://urldefense.com/v3/__http:/0sgqq.mjt.lu/lnk/AW0AAD5uFwQAAAAAlpAAAA52PFgAAAAAFXAAACIjABozNABmFCFROU_L7wOXQfWS_Sb6WpOePAAZSWc/16/dJYmIZYTSYzzpHpakwe8Mg/aHR0cHM6Ly93d3cudXRtYy5hcHAv__;!!D9dNQwwGXtA!WspGDcwaGr599MqcdjnJ8fdnLUzeK5Z-cYGgxSWRttA5Kl75C8Kjt0tX8yLI-znYLYdNMQ5Lq5m9R1-Bdle4zipssUNbQQ$" TargetMode="External"/><Relationship Id="rId30" Type="http://schemas.openxmlformats.org/officeDocument/2006/relationships/hyperlink" Target="https://urldefense.com/v3/__http:/0sgqq.mjt.lu/lnk/AW0AAD5uFwQAAAAAlpAAAA52PFgAAAAAFXAAACIjABozNABmFCFROU_L7wOXQfWS_Sb6WpOePAAZSWc/18/EojrbkY9LWuzayuZMiLO9w/aHR0cHM6Ly9taXNzaW9uLWlubm92YXRpb24ubmV0L3dwLWNvbnRlbnQvdXBsb2Fkcy8yMDI0LzA0LzIwMjRfMDJfTUlOWklfV2hpdGUtUGFwZXJfQ3VycmVuY3ktb2YtVHJ1c3QucGRm__;!!D9dNQwwGXtA!WspGDcwaGr599MqcdjnJ8fdnLUzeK5Z-cYGgxSWRttA5Kl75C8Kjt0tX8yLI-znYLYdNMQ5Lq5m9R1-Bdle4ziodDD2r3w$" TargetMode="External"/><Relationship Id="rId35" Type="http://schemas.openxmlformats.org/officeDocument/2006/relationships/hyperlink" Target="https://urldefense.com/v3/__http:/0sgqq.mjt.lu/lnk/AW0AAD5uFwQAAAAAlpAAAA52PFgAAAAAFXAAACIjABozNABmFCFROU_L7wOXQfWS_Sb6WpOePAAZSWc/23/buAyQ7rsHiFOQLivR2D3sw/aHR0cHM6Ly9hcmMtZmVzdGl2YWwub3JnLw__;!!D9dNQwwGXtA!WspGDcwaGr599MqcdjnJ8fdnLUzeK5Z-cYGgxSWRttA5Kl75C8Kjt0tX8yLI-znYLYdNMQ5Lq5m9R1-Bdle4zirxslD6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2638</Words>
  <Characters>14510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CIEMAT</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2024-04-11T10:14:00Z</dcterms:created>
  <dcterms:modified xsi:type="dcterms:W3CDTF">2024-04-11T10:14:00Z</dcterms:modified>
</cp:coreProperties>
</file>